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08C" w:rsidRPr="00C3592E" w:rsidRDefault="0078108C" w:rsidP="00E71B51">
      <w:pPr>
        <w:spacing w:line="240" w:lineRule="auto"/>
        <w:jc w:val="center"/>
        <w:rPr>
          <w:b/>
          <w:sz w:val="28"/>
        </w:rPr>
      </w:pPr>
      <w:r w:rsidRPr="00C3592E">
        <w:rPr>
          <w:b/>
          <w:sz w:val="28"/>
        </w:rPr>
        <w:t>Lymphatic filariasis</w:t>
      </w:r>
    </w:p>
    <w:p w:rsidR="0078108C" w:rsidRPr="00C3592E" w:rsidRDefault="0078108C" w:rsidP="00E71B51">
      <w:pPr>
        <w:spacing w:line="240" w:lineRule="auto"/>
        <w:rPr>
          <w:lang w:val="en-GB"/>
        </w:rPr>
      </w:pPr>
    </w:p>
    <w:p w:rsidR="00C3592E" w:rsidRPr="00C3592E" w:rsidRDefault="00C3592E" w:rsidP="00E71B51">
      <w:pPr>
        <w:spacing w:line="240" w:lineRule="auto"/>
        <w:rPr>
          <w:lang w:val="en-GB"/>
        </w:rPr>
      </w:pPr>
    </w:p>
    <w:p w:rsidR="00C3592E" w:rsidRPr="00C3592E" w:rsidRDefault="00C3592E" w:rsidP="00E71B51">
      <w:pPr>
        <w:spacing w:line="240" w:lineRule="auto"/>
        <w:rPr>
          <w:lang w:val="en-GB"/>
        </w:rPr>
      </w:pPr>
    </w:p>
    <w:p w:rsidR="0078108C" w:rsidRPr="00C3592E" w:rsidRDefault="00E71B51" w:rsidP="00E71B51">
      <w:pPr>
        <w:spacing w:line="240" w:lineRule="auto"/>
        <w:rPr>
          <w:b/>
          <w:lang w:val="en-GB"/>
        </w:rPr>
      </w:pPr>
      <w:r>
        <w:rPr>
          <w:b/>
          <w:lang w:val="en-GB"/>
        </w:rPr>
        <w:t>Distribution of burden over country income groups</w:t>
      </w:r>
      <w:r w:rsidR="00C3592E" w:rsidRPr="00C3592E">
        <w:rPr>
          <w:b/>
          <w:lang w:val="en-GB"/>
        </w:rPr>
        <w:t>, highlighting the countries contributing most to the 2010 disease burden:</w:t>
      </w:r>
    </w:p>
    <w:p w:rsidR="0078108C" w:rsidRPr="00C3592E" w:rsidRDefault="0078108C" w:rsidP="00E71B51">
      <w:pPr>
        <w:spacing w:line="240" w:lineRule="auto"/>
        <w:rPr>
          <w:lang w:val="en-GB"/>
        </w:rPr>
      </w:pPr>
    </w:p>
    <w:p w:rsidR="0078108C" w:rsidRPr="00C3592E" w:rsidRDefault="005606C2" w:rsidP="00E71B51">
      <w:pPr>
        <w:spacing w:line="240" w:lineRule="auto"/>
        <w:rPr>
          <w:lang w:val="en-GB"/>
        </w:rPr>
      </w:pPr>
      <w:r w:rsidRPr="005606C2">
        <w:rPr>
          <w:noProof/>
        </w:rPr>
        <w:drawing>
          <wp:inline distT="0" distB="0" distL="0" distR="0" wp14:anchorId="4AA2D6FE" wp14:editId="641EA411">
            <wp:extent cx="5731510" cy="2471714"/>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2471714"/>
                    </a:xfrm>
                    <a:prstGeom prst="rect">
                      <a:avLst/>
                    </a:prstGeom>
                    <a:noFill/>
                    <a:ln>
                      <a:noFill/>
                    </a:ln>
                  </pic:spPr>
                </pic:pic>
              </a:graphicData>
            </a:graphic>
          </wp:inline>
        </w:drawing>
      </w:r>
    </w:p>
    <w:p w:rsidR="0078108C" w:rsidRPr="00C3592E" w:rsidRDefault="0078108C" w:rsidP="00E71B51">
      <w:pPr>
        <w:spacing w:line="240" w:lineRule="auto"/>
        <w:rPr>
          <w:lang w:val="en-GB"/>
        </w:rPr>
      </w:pPr>
    </w:p>
    <w:p w:rsidR="00E71B51" w:rsidRDefault="00E71B51" w:rsidP="00E71B51">
      <w:pPr>
        <w:spacing w:line="240" w:lineRule="auto"/>
        <w:rPr>
          <w:b/>
          <w:lang w:val="en-GB"/>
        </w:rPr>
      </w:pPr>
      <w:r>
        <w:rPr>
          <w:b/>
          <w:lang w:val="en-GB"/>
        </w:rPr>
        <w:t>Findings:</w:t>
      </w:r>
    </w:p>
    <w:p w:rsidR="004162FF" w:rsidRPr="00372713" w:rsidRDefault="004162FF" w:rsidP="00E71B51">
      <w:pPr>
        <w:pStyle w:val="ListParagraph"/>
        <w:numPr>
          <w:ilvl w:val="0"/>
          <w:numId w:val="22"/>
        </w:numPr>
        <w:spacing w:line="240" w:lineRule="auto"/>
        <w:ind w:left="360"/>
        <w:jc w:val="both"/>
        <w:rPr>
          <w:u w:val="single"/>
        </w:rPr>
      </w:pPr>
      <w:r w:rsidRPr="00372713">
        <w:rPr>
          <w:u w:val="single"/>
        </w:rPr>
        <w:t>Distribution of disease in 1990</w:t>
      </w:r>
      <w:r w:rsidRPr="00372713">
        <w:t>: Over 93% of the burden was concentrated in low and lower-middle income countries. Three populous countries accounted for about 70% of the burden, i.e. India (57%), Nigeria (8%) and Indonesia (5%).</w:t>
      </w:r>
    </w:p>
    <w:p w:rsidR="004162FF" w:rsidRPr="00372713" w:rsidRDefault="004162FF" w:rsidP="00E71B51">
      <w:pPr>
        <w:pStyle w:val="ListParagraph"/>
        <w:numPr>
          <w:ilvl w:val="0"/>
          <w:numId w:val="22"/>
        </w:numPr>
        <w:spacing w:line="240" w:lineRule="auto"/>
        <w:ind w:left="360"/>
        <w:jc w:val="both"/>
        <w:rPr>
          <w:u w:val="single"/>
        </w:rPr>
      </w:pPr>
      <w:r w:rsidRPr="00372713">
        <w:rPr>
          <w:u w:val="single"/>
        </w:rPr>
        <w:t>Change in burden between 1990 and 2010</w:t>
      </w:r>
      <w:r w:rsidRPr="00372713">
        <w:t xml:space="preserve">: The burden in low income countries showed a strong increase (almost 50%), mainly due to population growth. Lower-middle income countries </w:t>
      </w:r>
      <w:r>
        <w:t>experienced</w:t>
      </w:r>
      <w:r w:rsidRPr="00372713">
        <w:t xml:space="preserve"> a less pronounced increase (21%), while the burden in upper-middle and high income countries almost completely disappeared (reduction </w:t>
      </w:r>
      <w:r>
        <w:t xml:space="preserve">of </w:t>
      </w:r>
      <w:r w:rsidRPr="00372713">
        <w:t>about 90%). As a result, low and lower middle income countries accounted for 99% of the burden in 2010. The three countries contributing most to the 2010 burden were India (55%), Nigeria (10%) and Indonesia (4%).</w:t>
      </w:r>
    </w:p>
    <w:p w:rsidR="004162FF" w:rsidRPr="00372713" w:rsidRDefault="004162FF" w:rsidP="00E71B51">
      <w:pPr>
        <w:pStyle w:val="ListParagraph"/>
        <w:numPr>
          <w:ilvl w:val="0"/>
          <w:numId w:val="22"/>
        </w:numPr>
        <w:spacing w:line="240" w:lineRule="auto"/>
        <w:ind w:left="360"/>
        <w:jc w:val="both"/>
        <w:rPr>
          <w:u w:val="single"/>
        </w:rPr>
      </w:pPr>
      <w:r w:rsidRPr="00372713">
        <w:rPr>
          <w:u w:val="single"/>
        </w:rPr>
        <w:t>Impact of meeting the WHO targets for 2020</w:t>
      </w:r>
      <w:r w:rsidRPr="00372713">
        <w:t xml:space="preserve">: </w:t>
      </w:r>
      <w:r w:rsidR="0069116F">
        <w:t>Even with a successful interruption of transmission</w:t>
      </w:r>
      <w:r w:rsidRPr="00372713">
        <w:t>, the reduction in disease burden between 2010 and 2020 would be relatively modest (-14%). This is explained by the chronic nature of disability associated with LF. We do not take into account the impact of morbidity control measures, which are not systematically rolled out with preventive chemotherapy.</w:t>
      </w:r>
    </w:p>
    <w:p w:rsidR="0078108C" w:rsidRPr="00C3592E" w:rsidRDefault="0078108C" w:rsidP="00E71B51">
      <w:pPr>
        <w:spacing w:line="240" w:lineRule="auto"/>
        <w:rPr>
          <w:lang w:val="en-GB"/>
        </w:rPr>
      </w:pPr>
    </w:p>
    <w:p w:rsidR="004162FF" w:rsidRDefault="004162FF" w:rsidP="00E71B51">
      <w:pPr>
        <w:spacing w:line="240" w:lineRule="auto"/>
        <w:rPr>
          <w:b/>
        </w:rPr>
      </w:pPr>
    </w:p>
    <w:p w:rsidR="0078108C" w:rsidRPr="00C3592E" w:rsidRDefault="0078108C" w:rsidP="00E71B51">
      <w:pPr>
        <w:spacing w:line="240" w:lineRule="auto"/>
        <w:rPr>
          <w:b/>
        </w:rPr>
      </w:pPr>
      <w:r w:rsidRPr="00C3592E">
        <w:rPr>
          <w:b/>
        </w:rPr>
        <w:t>Notes:</w:t>
      </w:r>
    </w:p>
    <w:p w:rsidR="00E71B51" w:rsidRDefault="0078108C" w:rsidP="00E71B51">
      <w:pPr>
        <w:pStyle w:val="ListParagraph"/>
        <w:numPr>
          <w:ilvl w:val="0"/>
          <w:numId w:val="14"/>
        </w:numPr>
        <w:spacing w:line="240" w:lineRule="auto"/>
        <w:ind w:left="360"/>
        <w:jc w:val="both"/>
        <w:rPr>
          <w:lang w:val="en-GB"/>
        </w:rPr>
      </w:pPr>
      <w:r w:rsidRPr="00C3592E">
        <w:rPr>
          <w:lang w:val="en-GB"/>
        </w:rPr>
        <w:t>Sequelae considered</w:t>
      </w:r>
      <w:r w:rsidR="00E71B51">
        <w:rPr>
          <w:lang w:val="en-GB"/>
        </w:rPr>
        <w:t xml:space="preserve"> in GBD study</w:t>
      </w:r>
      <w:r w:rsidRPr="00C3592E">
        <w:rPr>
          <w:lang w:val="en-GB"/>
        </w:rPr>
        <w:t xml:space="preserve">: </w:t>
      </w:r>
      <w:r w:rsidR="005F4629">
        <w:rPr>
          <w:lang w:val="en-GB"/>
        </w:rPr>
        <w:t>lymphedema</w:t>
      </w:r>
      <w:r w:rsidRPr="00C3592E">
        <w:rPr>
          <w:lang w:val="en-GB"/>
        </w:rPr>
        <w:t xml:space="preserve"> and hydrocele (both are assumed to be irreversible)</w:t>
      </w:r>
    </w:p>
    <w:p w:rsidR="0078108C" w:rsidRPr="00C3592E" w:rsidRDefault="0078108C" w:rsidP="00E71B51">
      <w:pPr>
        <w:pStyle w:val="ListParagraph"/>
        <w:spacing w:line="240" w:lineRule="auto"/>
        <w:ind w:left="360"/>
        <w:jc w:val="both"/>
        <w:rPr>
          <w:lang w:val="en-GB"/>
        </w:rPr>
      </w:pPr>
    </w:p>
    <w:p w:rsidR="0078108C" w:rsidRPr="00C3592E" w:rsidRDefault="0078108C" w:rsidP="00E71B51">
      <w:pPr>
        <w:spacing w:line="240" w:lineRule="auto"/>
        <w:rPr>
          <w:lang w:val="en-GB"/>
        </w:rPr>
      </w:pPr>
      <w:r w:rsidRPr="00C3592E">
        <w:rPr>
          <w:lang w:val="en-GB"/>
        </w:rPr>
        <w:br w:type="page"/>
      </w:r>
    </w:p>
    <w:p w:rsidR="0078108C" w:rsidRPr="00C3592E" w:rsidRDefault="0078108C" w:rsidP="00E71B51">
      <w:pPr>
        <w:spacing w:line="240" w:lineRule="auto"/>
        <w:jc w:val="center"/>
        <w:rPr>
          <w:b/>
          <w:sz w:val="28"/>
        </w:rPr>
      </w:pPr>
      <w:r w:rsidRPr="00C3592E">
        <w:rPr>
          <w:b/>
          <w:sz w:val="28"/>
        </w:rPr>
        <w:lastRenderedPageBreak/>
        <w:t>Onchocerciasis</w:t>
      </w:r>
    </w:p>
    <w:p w:rsidR="0078108C" w:rsidRPr="00C3592E" w:rsidRDefault="0078108C" w:rsidP="00E71B51">
      <w:pPr>
        <w:spacing w:line="240" w:lineRule="auto"/>
        <w:rPr>
          <w:lang w:val="en-GB"/>
        </w:rPr>
      </w:pPr>
    </w:p>
    <w:p w:rsidR="00C3592E" w:rsidRPr="00C3592E" w:rsidRDefault="00C3592E" w:rsidP="00E71B51">
      <w:pPr>
        <w:spacing w:line="240" w:lineRule="auto"/>
        <w:rPr>
          <w:lang w:val="en-GB"/>
        </w:rPr>
      </w:pPr>
    </w:p>
    <w:p w:rsidR="00C3592E" w:rsidRPr="00C3592E" w:rsidRDefault="00C3592E" w:rsidP="00E71B51">
      <w:pPr>
        <w:spacing w:line="240" w:lineRule="auto"/>
        <w:rPr>
          <w:lang w:val="en-GB"/>
        </w:rPr>
      </w:pPr>
    </w:p>
    <w:p w:rsidR="00E71B51" w:rsidRPr="00C3592E" w:rsidRDefault="00E71B51" w:rsidP="00E71B51">
      <w:pPr>
        <w:spacing w:line="240" w:lineRule="auto"/>
        <w:rPr>
          <w:b/>
          <w:lang w:val="en-GB"/>
        </w:rPr>
      </w:pPr>
      <w:r>
        <w:rPr>
          <w:b/>
          <w:lang w:val="en-GB"/>
        </w:rPr>
        <w:t>Distribution of burden over country income groups</w:t>
      </w:r>
      <w:r w:rsidRPr="00C3592E">
        <w:rPr>
          <w:b/>
          <w:lang w:val="en-GB"/>
        </w:rPr>
        <w:t>, highlighting the countries contributing most to the 2010 disease burden:</w:t>
      </w:r>
    </w:p>
    <w:p w:rsidR="0078108C" w:rsidRPr="00C3592E" w:rsidRDefault="0078108C" w:rsidP="00E71B51">
      <w:pPr>
        <w:spacing w:line="240" w:lineRule="auto"/>
        <w:rPr>
          <w:lang w:val="en-GB"/>
        </w:rPr>
      </w:pPr>
    </w:p>
    <w:p w:rsidR="0078108C" w:rsidRPr="00C3592E" w:rsidRDefault="001B52CC" w:rsidP="00E71B51">
      <w:pPr>
        <w:spacing w:line="240" w:lineRule="auto"/>
        <w:rPr>
          <w:lang w:val="en-GB"/>
        </w:rPr>
      </w:pPr>
      <w:r w:rsidRPr="001B52CC">
        <w:rPr>
          <w:noProof/>
        </w:rPr>
        <w:drawing>
          <wp:inline distT="0" distB="0" distL="0" distR="0" wp14:anchorId="0555A536" wp14:editId="41AFB846">
            <wp:extent cx="5731510" cy="2507536"/>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2507536"/>
                    </a:xfrm>
                    <a:prstGeom prst="rect">
                      <a:avLst/>
                    </a:prstGeom>
                    <a:noFill/>
                    <a:ln>
                      <a:noFill/>
                    </a:ln>
                  </pic:spPr>
                </pic:pic>
              </a:graphicData>
            </a:graphic>
          </wp:inline>
        </w:drawing>
      </w:r>
    </w:p>
    <w:p w:rsidR="0078108C" w:rsidRDefault="0078108C" w:rsidP="00E71B51">
      <w:pPr>
        <w:spacing w:line="240" w:lineRule="auto"/>
        <w:rPr>
          <w:lang w:val="en-GB"/>
        </w:rPr>
      </w:pPr>
    </w:p>
    <w:p w:rsidR="004162FF" w:rsidRDefault="004162FF" w:rsidP="00E71B51">
      <w:pPr>
        <w:spacing w:line="240" w:lineRule="auto"/>
        <w:rPr>
          <w:b/>
          <w:lang w:val="en-GB"/>
        </w:rPr>
      </w:pPr>
      <w:r>
        <w:rPr>
          <w:b/>
          <w:lang w:val="en-GB"/>
        </w:rPr>
        <w:t>Findings:</w:t>
      </w:r>
    </w:p>
    <w:p w:rsidR="004162FF" w:rsidRPr="00372713" w:rsidRDefault="004162FF" w:rsidP="00E71B51">
      <w:pPr>
        <w:pStyle w:val="ListParagraph"/>
        <w:numPr>
          <w:ilvl w:val="0"/>
          <w:numId w:val="22"/>
        </w:numPr>
        <w:spacing w:line="240" w:lineRule="auto"/>
        <w:ind w:left="360"/>
        <w:jc w:val="both"/>
      </w:pPr>
      <w:r w:rsidRPr="00372713">
        <w:rPr>
          <w:u w:val="single"/>
        </w:rPr>
        <w:t>Distribution of disease in 1990</w:t>
      </w:r>
      <w:r w:rsidRPr="00372713">
        <w:t>: The burden of onchocerciasis was concentrated in the low and lower-middle income countries within the African region. Small foci existed in Latin America and Yemen. Low and lower-middle income countries account for 50% of the burden each. The geographic spread was primarily determined by the presence of suitable breeding sites for the black fly vector. The three countries contributing most to the total burden were Democratic Republic of Congo (28%), Nigeria (24%) and Sudan (11%), all belonging to the most populous countries on the African continent.</w:t>
      </w:r>
    </w:p>
    <w:p w:rsidR="004162FF" w:rsidRPr="00372713" w:rsidRDefault="004162FF" w:rsidP="00E71B51">
      <w:pPr>
        <w:pStyle w:val="ListParagraph"/>
        <w:numPr>
          <w:ilvl w:val="0"/>
          <w:numId w:val="22"/>
        </w:numPr>
        <w:spacing w:line="240" w:lineRule="auto"/>
        <w:ind w:left="360"/>
        <w:jc w:val="both"/>
        <w:rPr>
          <w:u w:val="single"/>
        </w:rPr>
      </w:pPr>
      <w:r w:rsidRPr="00372713">
        <w:rPr>
          <w:u w:val="single"/>
        </w:rPr>
        <w:t>Change in burden between 1990 and 2010</w:t>
      </w:r>
      <w:r w:rsidRPr="00372713">
        <w:t>: Onchocerciasis has a long history of control and the total burden has declined. The impact largely came to the benefit of lower-middle income countries. By 2010, Democratic Republic of Congo, Nigeria and Sudan were still the main contributors to the burden, but DRC accounted for almost 40% of the burden, Nigeria still for 20% and Sudan also for 16%. The relative contribution of Democratic Republic of Congo and Sudan have increased, because these countries were lagging behind in the implementation of control activities.</w:t>
      </w:r>
      <w:r w:rsidRPr="00372713">
        <w:rPr>
          <w:u w:val="single"/>
        </w:rPr>
        <w:t xml:space="preserve"> </w:t>
      </w:r>
    </w:p>
    <w:p w:rsidR="004162FF" w:rsidRPr="00372713" w:rsidRDefault="004162FF" w:rsidP="00E71B51">
      <w:pPr>
        <w:pStyle w:val="ListParagraph"/>
        <w:numPr>
          <w:ilvl w:val="0"/>
          <w:numId w:val="22"/>
        </w:numPr>
        <w:spacing w:line="240" w:lineRule="auto"/>
        <w:ind w:left="360"/>
        <w:jc w:val="both"/>
      </w:pPr>
      <w:r w:rsidRPr="00372713">
        <w:rPr>
          <w:u w:val="single"/>
        </w:rPr>
        <w:t>Impact of meeting the WHO targets</w:t>
      </w:r>
      <w:r w:rsidRPr="00372713">
        <w:t xml:space="preserve">: Strong impact expected by 2020: between 2010 and 2020 the total burden would be reduced by 55% if the WHO targets are met. However, due to differences in the history of control (start year of interventions, rate of scaling up) the impact varies between countries. By 2020 many countries will already have eliminated transmission and the burden of chronic disease will show a considerable decline in these countries. In other countries (such as Central African Republic, Cameroon, Democratic Republic of Congo) interventions will need to continue beyond 2020 to achieve the same. Least progress would be achieved for Democratic Republic of Congo (due to delayed start of interventions in combination with highly </w:t>
      </w:r>
      <w:proofErr w:type="spellStart"/>
      <w:r w:rsidRPr="00372713">
        <w:t>unfavourable</w:t>
      </w:r>
      <w:proofErr w:type="spellEnd"/>
      <w:r w:rsidRPr="00372713">
        <w:t xml:space="preserve"> transmission dynamics), and by 2020 this country accounts for over 60% of the global burden. </w:t>
      </w:r>
    </w:p>
    <w:p w:rsidR="004162FF" w:rsidRPr="004162FF" w:rsidRDefault="004162FF" w:rsidP="00E71B51">
      <w:pPr>
        <w:spacing w:line="240" w:lineRule="auto"/>
        <w:rPr>
          <w:b/>
        </w:rPr>
      </w:pPr>
    </w:p>
    <w:p w:rsidR="0078108C" w:rsidRPr="00C3592E" w:rsidRDefault="0078108C" w:rsidP="00E71B51">
      <w:pPr>
        <w:spacing w:line="240" w:lineRule="auto"/>
        <w:jc w:val="both"/>
        <w:rPr>
          <w:lang w:val="en-GB"/>
        </w:rPr>
      </w:pPr>
    </w:p>
    <w:p w:rsidR="0078108C" w:rsidRPr="00C3592E" w:rsidRDefault="0078108C" w:rsidP="00E71B51">
      <w:pPr>
        <w:spacing w:line="240" w:lineRule="auto"/>
        <w:rPr>
          <w:b/>
        </w:rPr>
      </w:pPr>
      <w:r w:rsidRPr="00C3592E">
        <w:rPr>
          <w:b/>
        </w:rPr>
        <w:t>Notes:</w:t>
      </w:r>
    </w:p>
    <w:p w:rsidR="0078108C" w:rsidRDefault="00E71B51" w:rsidP="00E71B51">
      <w:pPr>
        <w:pStyle w:val="ListParagraph"/>
        <w:numPr>
          <w:ilvl w:val="0"/>
          <w:numId w:val="14"/>
        </w:numPr>
        <w:spacing w:line="240" w:lineRule="auto"/>
        <w:ind w:left="360"/>
        <w:jc w:val="both"/>
        <w:rPr>
          <w:lang w:val="en-GB"/>
        </w:rPr>
      </w:pPr>
      <w:r w:rsidRPr="00C3592E">
        <w:rPr>
          <w:lang w:val="en-GB"/>
        </w:rPr>
        <w:t>Sequelae considered</w:t>
      </w:r>
      <w:r>
        <w:rPr>
          <w:lang w:val="en-GB"/>
        </w:rPr>
        <w:t xml:space="preserve"> in GBD study</w:t>
      </w:r>
      <w:r w:rsidRPr="00C3592E">
        <w:rPr>
          <w:lang w:val="en-GB"/>
        </w:rPr>
        <w:t xml:space="preserve">: </w:t>
      </w:r>
      <w:r w:rsidR="0078108C" w:rsidRPr="00C3592E">
        <w:rPr>
          <w:lang w:val="en-GB"/>
        </w:rPr>
        <w:t>visual impairment, blindness (both irreversible) and skin manifestations with and without itch (mostly reversible)</w:t>
      </w:r>
    </w:p>
    <w:p w:rsidR="0078108C" w:rsidRPr="00C3592E" w:rsidRDefault="0078108C" w:rsidP="00E71B51">
      <w:pPr>
        <w:spacing w:line="240" w:lineRule="auto"/>
        <w:rPr>
          <w:lang w:val="en-GB"/>
        </w:rPr>
      </w:pPr>
      <w:r w:rsidRPr="00C3592E">
        <w:rPr>
          <w:lang w:val="en-GB"/>
        </w:rPr>
        <w:br w:type="page"/>
      </w:r>
    </w:p>
    <w:p w:rsidR="0078108C" w:rsidRPr="00C3592E" w:rsidRDefault="0078108C" w:rsidP="00E71B51">
      <w:pPr>
        <w:spacing w:line="240" w:lineRule="auto"/>
        <w:jc w:val="center"/>
        <w:rPr>
          <w:b/>
          <w:sz w:val="28"/>
        </w:rPr>
      </w:pPr>
      <w:r w:rsidRPr="00C3592E">
        <w:rPr>
          <w:b/>
          <w:sz w:val="28"/>
        </w:rPr>
        <w:lastRenderedPageBreak/>
        <w:t>Schistosomiasis</w:t>
      </w:r>
    </w:p>
    <w:p w:rsidR="0078108C" w:rsidRPr="00C3592E" w:rsidRDefault="0078108C" w:rsidP="00E71B51">
      <w:pPr>
        <w:spacing w:line="240" w:lineRule="auto"/>
        <w:rPr>
          <w:lang w:val="en-GB"/>
        </w:rPr>
      </w:pPr>
    </w:p>
    <w:p w:rsidR="00C3592E" w:rsidRPr="00C3592E" w:rsidRDefault="00C3592E" w:rsidP="00E71B51">
      <w:pPr>
        <w:spacing w:line="240" w:lineRule="auto"/>
        <w:rPr>
          <w:lang w:val="en-GB"/>
        </w:rPr>
      </w:pPr>
    </w:p>
    <w:p w:rsidR="00C3592E" w:rsidRPr="00C3592E" w:rsidRDefault="00C3592E" w:rsidP="00E71B51">
      <w:pPr>
        <w:spacing w:line="240" w:lineRule="auto"/>
        <w:rPr>
          <w:lang w:val="en-GB"/>
        </w:rPr>
      </w:pPr>
    </w:p>
    <w:p w:rsidR="00E71B51" w:rsidRPr="00C3592E" w:rsidRDefault="00E71B51" w:rsidP="00E71B51">
      <w:pPr>
        <w:spacing w:line="240" w:lineRule="auto"/>
        <w:rPr>
          <w:b/>
          <w:lang w:val="en-GB"/>
        </w:rPr>
      </w:pPr>
      <w:r>
        <w:rPr>
          <w:b/>
          <w:lang w:val="en-GB"/>
        </w:rPr>
        <w:t>Distribution of burden over country income groups</w:t>
      </w:r>
      <w:r w:rsidRPr="00C3592E">
        <w:rPr>
          <w:b/>
          <w:lang w:val="en-GB"/>
        </w:rPr>
        <w:t>, highlighting the countries contributing most to the 2010 disease burden:</w:t>
      </w:r>
    </w:p>
    <w:p w:rsidR="0078108C" w:rsidRPr="00C3592E" w:rsidRDefault="0078108C" w:rsidP="00E71B51">
      <w:pPr>
        <w:spacing w:line="240" w:lineRule="auto"/>
        <w:rPr>
          <w:lang w:val="en-GB"/>
        </w:rPr>
      </w:pPr>
    </w:p>
    <w:p w:rsidR="0078108C" w:rsidRPr="00C3592E" w:rsidRDefault="006B6B92" w:rsidP="00E71B51">
      <w:pPr>
        <w:spacing w:line="240" w:lineRule="auto"/>
        <w:rPr>
          <w:lang w:val="en-GB"/>
        </w:rPr>
      </w:pPr>
      <w:r w:rsidRPr="006B6B92">
        <w:rPr>
          <w:noProof/>
        </w:rPr>
        <w:drawing>
          <wp:inline distT="0" distB="0" distL="0" distR="0" wp14:anchorId="3974BF79" wp14:editId="4EE26A1C">
            <wp:extent cx="5731510" cy="2543358"/>
            <wp:effectExtent l="0" t="0" r="254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2543358"/>
                    </a:xfrm>
                    <a:prstGeom prst="rect">
                      <a:avLst/>
                    </a:prstGeom>
                    <a:noFill/>
                    <a:ln>
                      <a:noFill/>
                    </a:ln>
                  </pic:spPr>
                </pic:pic>
              </a:graphicData>
            </a:graphic>
          </wp:inline>
        </w:drawing>
      </w:r>
    </w:p>
    <w:p w:rsidR="0078108C" w:rsidRPr="00C3592E" w:rsidRDefault="0078108C" w:rsidP="00E71B51">
      <w:pPr>
        <w:spacing w:line="240" w:lineRule="auto"/>
        <w:rPr>
          <w:lang w:val="en-GB"/>
        </w:rPr>
      </w:pPr>
    </w:p>
    <w:p w:rsidR="0078108C" w:rsidRPr="004162FF" w:rsidRDefault="004162FF" w:rsidP="00E71B51">
      <w:pPr>
        <w:spacing w:line="240" w:lineRule="auto"/>
        <w:jc w:val="both"/>
        <w:rPr>
          <w:b/>
          <w:lang w:val="en-GB"/>
        </w:rPr>
      </w:pPr>
      <w:r w:rsidRPr="004162FF">
        <w:rPr>
          <w:b/>
          <w:lang w:val="en-GB"/>
        </w:rPr>
        <w:t>Findings:</w:t>
      </w:r>
    </w:p>
    <w:p w:rsidR="004162FF" w:rsidRPr="00372713" w:rsidRDefault="004162FF" w:rsidP="00E71B51">
      <w:pPr>
        <w:pStyle w:val="ListParagraph"/>
        <w:numPr>
          <w:ilvl w:val="0"/>
          <w:numId w:val="22"/>
        </w:numPr>
        <w:spacing w:line="240" w:lineRule="auto"/>
        <w:ind w:left="360"/>
        <w:jc w:val="both"/>
        <w:rPr>
          <w:u w:val="single"/>
        </w:rPr>
      </w:pPr>
      <w:r w:rsidRPr="00372713">
        <w:rPr>
          <w:u w:val="single"/>
        </w:rPr>
        <w:t>Distribution of disease in 1990</w:t>
      </w:r>
      <w:r w:rsidRPr="00372713">
        <w:t xml:space="preserve">: Sub Sahara Africa accounted for almost 80% of the global burden of schistosomiasis, but the disease also </w:t>
      </w:r>
      <w:proofErr w:type="spellStart"/>
      <w:r w:rsidRPr="00372713">
        <w:t>occured</w:t>
      </w:r>
      <w:proofErr w:type="spellEnd"/>
      <w:r w:rsidRPr="00372713">
        <w:t xml:space="preserve"> in South America, the Caribbean, the Middle East, and East Asia. Upper-middle income countries accounted for almost 20% of the global burden, while the remaining 80% was evenly spread among low and lower-middle income countries. The top three burden countries in 1990 were Nigeria (20%), China (13%) and Ethiopia (7%).</w:t>
      </w:r>
    </w:p>
    <w:p w:rsidR="004162FF" w:rsidRPr="00372713" w:rsidRDefault="004162FF" w:rsidP="00E71B51">
      <w:pPr>
        <w:pStyle w:val="ListParagraph"/>
        <w:numPr>
          <w:ilvl w:val="0"/>
          <w:numId w:val="22"/>
        </w:numPr>
        <w:spacing w:line="240" w:lineRule="auto"/>
        <w:ind w:left="360"/>
        <w:jc w:val="both"/>
      </w:pPr>
      <w:r w:rsidRPr="00372713">
        <w:rPr>
          <w:u w:val="single"/>
        </w:rPr>
        <w:t>Change in burden between 1990 and 2010</w:t>
      </w:r>
      <w:r w:rsidRPr="00372713">
        <w:t>: The GBD data suggest a large increase in burden between 1990 and 2010. This can only partly be explained by population growth, and may also reflect an underestimation of the 1990 burden. Nigeria, China and Ethiopia were still contributing most to the global burden (21%, 8% and 7% respectively). The distribution over income groups did not change much in this period.</w:t>
      </w:r>
    </w:p>
    <w:p w:rsidR="004162FF" w:rsidRPr="00372713" w:rsidRDefault="004162FF" w:rsidP="00E71B51">
      <w:pPr>
        <w:pStyle w:val="ListParagraph"/>
        <w:numPr>
          <w:ilvl w:val="0"/>
          <w:numId w:val="22"/>
        </w:numPr>
        <w:spacing w:line="240" w:lineRule="auto"/>
        <w:ind w:left="360"/>
        <w:jc w:val="both"/>
        <w:rPr>
          <w:u w:val="single"/>
        </w:rPr>
      </w:pPr>
      <w:r w:rsidRPr="00372713">
        <w:rPr>
          <w:u w:val="single"/>
        </w:rPr>
        <w:t>Impact of meeting the WHO targets</w:t>
      </w:r>
      <w:r w:rsidRPr="00372713">
        <w:t xml:space="preserve">: Elimination of schistosomiasis as a public health problem is to be achieved by 2025 globally. Between 2010 and 2020, the global burden would be halved. Nigeria, China and Ethiopia would still contribute most to the global burden, accounting for similar shares as in 2010. </w:t>
      </w:r>
    </w:p>
    <w:p w:rsidR="004162FF" w:rsidRPr="004162FF" w:rsidRDefault="004162FF" w:rsidP="00E71B51">
      <w:pPr>
        <w:spacing w:line="240" w:lineRule="auto"/>
        <w:jc w:val="both"/>
        <w:rPr>
          <w:b/>
        </w:rPr>
      </w:pPr>
    </w:p>
    <w:p w:rsidR="0078108C" w:rsidRPr="00C3592E" w:rsidRDefault="0078108C" w:rsidP="00E71B51">
      <w:pPr>
        <w:spacing w:line="240" w:lineRule="auto"/>
        <w:jc w:val="both"/>
        <w:rPr>
          <w:lang w:val="en-GB"/>
        </w:rPr>
      </w:pPr>
    </w:p>
    <w:p w:rsidR="0078108C" w:rsidRPr="00C3592E" w:rsidRDefault="0078108C" w:rsidP="00E71B51">
      <w:pPr>
        <w:spacing w:line="240" w:lineRule="auto"/>
        <w:rPr>
          <w:b/>
        </w:rPr>
      </w:pPr>
      <w:r w:rsidRPr="00C3592E">
        <w:rPr>
          <w:b/>
        </w:rPr>
        <w:t>Notes:</w:t>
      </w:r>
    </w:p>
    <w:p w:rsidR="0078108C" w:rsidRPr="00C3592E" w:rsidRDefault="00E71B51" w:rsidP="00E71B51">
      <w:pPr>
        <w:pStyle w:val="ListParagraph"/>
        <w:numPr>
          <w:ilvl w:val="0"/>
          <w:numId w:val="14"/>
        </w:numPr>
        <w:spacing w:line="240" w:lineRule="auto"/>
        <w:ind w:left="360"/>
        <w:jc w:val="both"/>
        <w:rPr>
          <w:lang w:val="en-GB"/>
        </w:rPr>
      </w:pPr>
      <w:r w:rsidRPr="00C3592E">
        <w:rPr>
          <w:lang w:val="en-GB"/>
        </w:rPr>
        <w:t>Sequelae considered</w:t>
      </w:r>
      <w:r>
        <w:rPr>
          <w:lang w:val="en-GB"/>
        </w:rPr>
        <w:t xml:space="preserve"> in GBD study</w:t>
      </w:r>
      <w:r w:rsidRPr="00C3592E">
        <w:rPr>
          <w:lang w:val="en-GB"/>
        </w:rPr>
        <w:t xml:space="preserve">: </w:t>
      </w:r>
      <w:r w:rsidR="0078108C" w:rsidRPr="00C3592E">
        <w:rPr>
          <w:lang w:val="en-GB"/>
        </w:rPr>
        <w:t xml:space="preserve">schistosomiasis infestation, mild </w:t>
      </w:r>
      <w:proofErr w:type="spellStart"/>
      <w:r w:rsidR="0078108C" w:rsidRPr="00C3592E">
        <w:rPr>
          <w:lang w:val="en-GB"/>
        </w:rPr>
        <w:t>diarrhea</w:t>
      </w:r>
      <w:proofErr w:type="spellEnd"/>
      <w:r w:rsidR="0078108C" w:rsidRPr="00C3592E">
        <w:rPr>
          <w:lang w:val="en-GB"/>
        </w:rPr>
        <w:t xml:space="preserve">, hematemesis, bladder pathology, dysuria, hepatomegaly, </w:t>
      </w:r>
      <w:proofErr w:type="spellStart"/>
      <w:r w:rsidR="0078108C" w:rsidRPr="00C3592E">
        <w:rPr>
          <w:lang w:val="en-GB"/>
        </w:rPr>
        <w:t>hydronephrosis</w:t>
      </w:r>
      <w:proofErr w:type="spellEnd"/>
      <w:r w:rsidR="0078108C" w:rsidRPr="00C3592E">
        <w:rPr>
          <w:lang w:val="en-GB"/>
        </w:rPr>
        <w:t xml:space="preserve">, ascites, </w:t>
      </w:r>
      <w:proofErr w:type="spellStart"/>
      <w:r w:rsidR="0078108C" w:rsidRPr="00C3592E">
        <w:rPr>
          <w:lang w:val="en-GB"/>
        </w:rPr>
        <w:t>anemia</w:t>
      </w:r>
      <w:proofErr w:type="spellEnd"/>
      <w:r w:rsidR="0078108C" w:rsidRPr="00C3592E">
        <w:rPr>
          <w:lang w:val="en-GB"/>
        </w:rPr>
        <w:t xml:space="preserve"> </w:t>
      </w:r>
    </w:p>
    <w:p w:rsidR="0078108C" w:rsidRPr="00C3592E" w:rsidRDefault="0078108C" w:rsidP="00E71B51">
      <w:pPr>
        <w:pStyle w:val="ListParagraph"/>
        <w:spacing w:line="240" w:lineRule="auto"/>
        <w:ind w:left="360"/>
        <w:jc w:val="both"/>
        <w:rPr>
          <w:lang w:val="en-GB"/>
        </w:rPr>
      </w:pPr>
    </w:p>
    <w:p w:rsidR="0078108C" w:rsidRPr="00C3592E" w:rsidRDefault="0078108C" w:rsidP="00E71B51">
      <w:pPr>
        <w:spacing w:line="240" w:lineRule="auto"/>
        <w:rPr>
          <w:lang w:val="en-GB"/>
        </w:rPr>
      </w:pPr>
      <w:r w:rsidRPr="00C3592E">
        <w:rPr>
          <w:lang w:val="en-GB"/>
        </w:rPr>
        <w:br w:type="page"/>
      </w:r>
    </w:p>
    <w:p w:rsidR="00AA0C91" w:rsidRPr="00C3592E" w:rsidRDefault="00915776" w:rsidP="00E71B51">
      <w:pPr>
        <w:spacing w:line="240" w:lineRule="auto"/>
        <w:jc w:val="center"/>
        <w:rPr>
          <w:b/>
          <w:sz w:val="28"/>
        </w:rPr>
      </w:pPr>
      <w:r>
        <w:rPr>
          <w:b/>
          <w:sz w:val="28"/>
        </w:rPr>
        <w:lastRenderedPageBreak/>
        <w:t>Soil-transmitted helminths</w:t>
      </w:r>
    </w:p>
    <w:p w:rsidR="00AA0C91" w:rsidRPr="00C3592E" w:rsidRDefault="00AA0C91" w:rsidP="00E71B51">
      <w:pPr>
        <w:spacing w:line="240" w:lineRule="auto"/>
        <w:rPr>
          <w:lang w:val="en-GB"/>
        </w:rPr>
      </w:pPr>
    </w:p>
    <w:p w:rsidR="00C3592E" w:rsidRPr="00C3592E" w:rsidRDefault="00C3592E" w:rsidP="00E71B51">
      <w:pPr>
        <w:spacing w:line="240" w:lineRule="auto"/>
        <w:rPr>
          <w:lang w:val="en-GB"/>
        </w:rPr>
      </w:pPr>
    </w:p>
    <w:p w:rsidR="00C3592E" w:rsidRPr="00C3592E" w:rsidRDefault="00C3592E" w:rsidP="00E71B51">
      <w:pPr>
        <w:spacing w:line="240" w:lineRule="auto"/>
        <w:rPr>
          <w:lang w:val="en-GB"/>
        </w:rPr>
      </w:pPr>
    </w:p>
    <w:p w:rsidR="00E71B51" w:rsidRPr="00C3592E" w:rsidRDefault="00E71B51" w:rsidP="00E71B51">
      <w:pPr>
        <w:spacing w:line="240" w:lineRule="auto"/>
        <w:rPr>
          <w:b/>
          <w:lang w:val="en-GB"/>
        </w:rPr>
      </w:pPr>
      <w:r>
        <w:rPr>
          <w:b/>
          <w:lang w:val="en-GB"/>
        </w:rPr>
        <w:t>Distribution of burden over country income groups</w:t>
      </w:r>
      <w:r w:rsidRPr="00C3592E">
        <w:rPr>
          <w:b/>
          <w:lang w:val="en-GB"/>
        </w:rPr>
        <w:t>, highlighting the countries contributing most to the 2010 disease burden:</w:t>
      </w:r>
    </w:p>
    <w:p w:rsidR="00AA0C91" w:rsidRPr="00C3592E" w:rsidRDefault="00AA0C91" w:rsidP="00E71B51">
      <w:pPr>
        <w:spacing w:line="240" w:lineRule="auto"/>
        <w:rPr>
          <w:lang w:val="en-GB"/>
        </w:rPr>
      </w:pPr>
    </w:p>
    <w:p w:rsidR="0039399A" w:rsidRPr="00C3592E" w:rsidRDefault="002C0601" w:rsidP="00E71B51">
      <w:pPr>
        <w:spacing w:line="240" w:lineRule="auto"/>
        <w:rPr>
          <w:lang w:val="en-GB"/>
        </w:rPr>
      </w:pPr>
      <w:r w:rsidRPr="002C0601">
        <w:rPr>
          <w:noProof/>
        </w:rPr>
        <w:drawing>
          <wp:inline distT="0" distB="0" distL="0" distR="0" wp14:anchorId="0216C7DF" wp14:editId="3EFE58DB">
            <wp:extent cx="5731510" cy="2423951"/>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2423951"/>
                    </a:xfrm>
                    <a:prstGeom prst="rect">
                      <a:avLst/>
                    </a:prstGeom>
                    <a:noFill/>
                    <a:ln>
                      <a:noFill/>
                    </a:ln>
                  </pic:spPr>
                </pic:pic>
              </a:graphicData>
            </a:graphic>
          </wp:inline>
        </w:drawing>
      </w:r>
    </w:p>
    <w:p w:rsidR="0039399A" w:rsidRPr="00C3592E" w:rsidRDefault="0039399A" w:rsidP="00E71B51">
      <w:pPr>
        <w:spacing w:line="240" w:lineRule="auto"/>
        <w:jc w:val="both"/>
        <w:rPr>
          <w:lang w:val="en-GB"/>
        </w:rPr>
      </w:pPr>
    </w:p>
    <w:p w:rsidR="00AE0A24" w:rsidRDefault="004162FF" w:rsidP="00E71B51">
      <w:pPr>
        <w:spacing w:line="240" w:lineRule="auto"/>
        <w:rPr>
          <w:b/>
          <w:lang w:val="en-GB"/>
        </w:rPr>
      </w:pPr>
      <w:r>
        <w:rPr>
          <w:b/>
          <w:lang w:val="en-GB"/>
        </w:rPr>
        <w:t>Findings:</w:t>
      </w:r>
    </w:p>
    <w:p w:rsidR="004162FF" w:rsidRPr="00372713" w:rsidRDefault="004162FF" w:rsidP="00E71B51">
      <w:pPr>
        <w:pStyle w:val="ListParagraph"/>
        <w:numPr>
          <w:ilvl w:val="0"/>
          <w:numId w:val="22"/>
        </w:numPr>
        <w:spacing w:line="240" w:lineRule="auto"/>
        <w:ind w:left="360"/>
        <w:jc w:val="both"/>
        <w:rPr>
          <w:u w:val="single"/>
        </w:rPr>
      </w:pPr>
      <w:r w:rsidRPr="00372713">
        <w:rPr>
          <w:u w:val="single"/>
        </w:rPr>
        <w:t>Distribution of disease in 1990</w:t>
      </w:r>
      <w:r w:rsidRPr="00372713">
        <w:t>: As a group, the three STHs (ascariasis, hookworm, and trichuriasis) were the most important cause of disability among the NTDs. STH is globally widespread, occurring in low, lower-middle and upper-middle income countries. In 1990, upper-middle income countries accounted for almost 60% of the global burden; low and lower-middle income countries accounted for 13% and 28% of the global burden respectively. In 1990, China accounted for 50% of the global burden. Other major contributors were India (10%), Bangladesh (6%), Philippines (4%) and Vietnam (4%).</w:t>
      </w:r>
    </w:p>
    <w:p w:rsidR="004162FF" w:rsidRPr="00372713" w:rsidRDefault="004162FF" w:rsidP="00E71B51">
      <w:pPr>
        <w:pStyle w:val="ListParagraph"/>
        <w:numPr>
          <w:ilvl w:val="0"/>
          <w:numId w:val="22"/>
        </w:numPr>
        <w:spacing w:line="240" w:lineRule="auto"/>
        <w:ind w:left="360"/>
        <w:jc w:val="both"/>
        <w:rPr>
          <w:u w:val="single"/>
        </w:rPr>
      </w:pPr>
      <w:r w:rsidRPr="00372713">
        <w:rPr>
          <w:u w:val="single"/>
        </w:rPr>
        <w:t>Change in burden between 1990 and 2010</w:t>
      </w:r>
      <w:r w:rsidRPr="00372713">
        <w:t>: The global burden declined by 42%, but this was unevenly distributed across income groups. While the burden in low and lower middle income countries declined by around 10%, the burden in upper middle income countries declined by about two-thirds thanks to the strong reduction in China. In 2010, lower middle income countries accounted for the largest share of the burden (43% versus 37% in upper middle and 20% in low income countries). China, India, Bangladesh, Philippines and Vietnam were still contributing most to the global burden (20%, 16%, 7%, 7% and 7%, respectively).</w:t>
      </w:r>
    </w:p>
    <w:p w:rsidR="004162FF" w:rsidRPr="00372713" w:rsidRDefault="004162FF" w:rsidP="00E71B51">
      <w:pPr>
        <w:pStyle w:val="ListParagraph"/>
        <w:numPr>
          <w:ilvl w:val="0"/>
          <w:numId w:val="22"/>
        </w:numPr>
        <w:spacing w:line="240" w:lineRule="auto"/>
        <w:ind w:left="360"/>
        <w:jc w:val="both"/>
        <w:rPr>
          <w:u w:val="single"/>
        </w:rPr>
      </w:pPr>
      <w:r w:rsidRPr="00372713">
        <w:rPr>
          <w:u w:val="single"/>
        </w:rPr>
        <w:t>Impact of meeting the WHO targets</w:t>
      </w:r>
      <w:r w:rsidRPr="00372713">
        <w:t xml:space="preserve">: Meeting the STH 2020 targets would result in a 57% reduction in the global burden compared to the 1990 level, and the relative reduction does not differ much between income groups. </w:t>
      </w:r>
    </w:p>
    <w:p w:rsidR="004162FF" w:rsidRDefault="004162FF" w:rsidP="00E71B51">
      <w:pPr>
        <w:spacing w:line="240" w:lineRule="auto"/>
        <w:rPr>
          <w:b/>
        </w:rPr>
      </w:pPr>
    </w:p>
    <w:p w:rsidR="00E71B51" w:rsidRPr="004162FF" w:rsidRDefault="00E71B51" w:rsidP="00E71B51">
      <w:pPr>
        <w:spacing w:line="240" w:lineRule="auto"/>
        <w:rPr>
          <w:b/>
        </w:rPr>
      </w:pPr>
    </w:p>
    <w:p w:rsidR="0012561A" w:rsidRPr="00C3592E" w:rsidRDefault="00AE0A24" w:rsidP="00E71B51">
      <w:pPr>
        <w:spacing w:line="240" w:lineRule="auto"/>
        <w:rPr>
          <w:b/>
          <w:lang w:val="en-GB"/>
        </w:rPr>
      </w:pPr>
      <w:r w:rsidRPr="00C3592E">
        <w:rPr>
          <w:b/>
          <w:lang w:val="en-GB"/>
        </w:rPr>
        <w:t>Notes:</w:t>
      </w:r>
    </w:p>
    <w:p w:rsidR="0012561A" w:rsidRPr="00C3592E" w:rsidRDefault="00E71B51" w:rsidP="00E71B51">
      <w:pPr>
        <w:pStyle w:val="ListParagraph"/>
        <w:numPr>
          <w:ilvl w:val="0"/>
          <w:numId w:val="14"/>
        </w:numPr>
        <w:spacing w:line="240" w:lineRule="auto"/>
        <w:ind w:left="360"/>
        <w:jc w:val="both"/>
        <w:rPr>
          <w:lang w:val="en-GB"/>
        </w:rPr>
      </w:pPr>
      <w:r w:rsidRPr="00C3592E">
        <w:rPr>
          <w:lang w:val="en-GB"/>
        </w:rPr>
        <w:t>Sequelae considered</w:t>
      </w:r>
      <w:r>
        <w:rPr>
          <w:lang w:val="en-GB"/>
        </w:rPr>
        <w:t xml:space="preserve"> in GBD study</w:t>
      </w:r>
      <w:r w:rsidRPr="00C3592E">
        <w:rPr>
          <w:lang w:val="en-GB"/>
        </w:rPr>
        <w:t xml:space="preserve">: </w:t>
      </w:r>
      <w:r w:rsidR="00463EAE" w:rsidRPr="00C3592E">
        <w:rPr>
          <w:lang w:val="en-GB"/>
        </w:rPr>
        <w:t xml:space="preserve">All three </w:t>
      </w:r>
      <w:r w:rsidR="005F4629" w:rsidRPr="00C3592E">
        <w:rPr>
          <w:lang w:val="en-GB"/>
        </w:rPr>
        <w:t>ST</w:t>
      </w:r>
      <w:r w:rsidR="005F4629">
        <w:rPr>
          <w:lang w:val="en-GB"/>
        </w:rPr>
        <w:t>H</w:t>
      </w:r>
      <w:r w:rsidR="005F4629" w:rsidRPr="00C3592E">
        <w:rPr>
          <w:lang w:val="en-GB"/>
        </w:rPr>
        <w:t xml:space="preserve"> </w:t>
      </w:r>
      <w:r w:rsidR="00463EAE" w:rsidRPr="00C3592E">
        <w:rPr>
          <w:lang w:val="en-GB"/>
        </w:rPr>
        <w:t>(ascariasis, hookworm, trichuriasis) are associated with infestation, mild abdominopelvic problems and –</w:t>
      </w:r>
      <w:r w:rsidR="00380EDD" w:rsidRPr="00C3592E">
        <w:rPr>
          <w:lang w:val="en-GB"/>
        </w:rPr>
        <w:t xml:space="preserve"> </w:t>
      </w:r>
      <w:r w:rsidR="00463EAE" w:rsidRPr="00C3592E">
        <w:rPr>
          <w:lang w:val="en-GB"/>
        </w:rPr>
        <w:t xml:space="preserve">in children &lt;5 – severe wasting. Hookworm causes </w:t>
      </w:r>
      <w:proofErr w:type="spellStart"/>
      <w:r w:rsidR="00463EAE" w:rsidRPr="00C3592E">
        <w:rPr>
          <w:lang w:val="en-GB"/>
        </w:rPr>
        <w:t>anemia</w:t>
      </w:r>
      <w:proofErr w:type="spellEnd"/>
      <w:r w:rsidR="00463EAE" w:rsidRPr="00C3592E">
        <w:rPr>
          <w:lang w:val="en-GB"/>
        </w:rPr>
        <w:t xml:space="preserve"> in addition.</w:t>
      </w:r>
      <w:r w:rsidR="00E32F5C" w:rsidRPr="00C3592E">
        <w:rPr>
          <w:lang w:val="en-GB"/>
        </w:rPr>
        <w:t xml:space="preserve"> Ascariasis is associated with excess mortality. </w:t>
      </w:r>
    </w:p>
    <w:p w:rsidR="0012561A" w:rsidRPr="00C3592E" w:rsidRDefault="0012561A" w:rsidP="00E71B51">
      <w:pPr>
        <w:pStyle w:val="ListParagraph"/>
        <w:spacing w:line="240" w:lineRule="auto"/>
        <w:ind w:left="360"/>
        <w:jc w:val="both"/>
        <w:rPr>
          <w:lang w:val="en-GB"/>
        </w:rPr>
      </w:pPr>
    </w:p>
    <w:p w:rsidR="00AA0C91" w:rsidRPr="00C3592E" w:rsidRDefault="00AA0C91" w:rsidP="00E71B51">
      <w:pPr>
        <w:spacing w:line="240" w:lineRule="auto"/>
        <w:rPr>
          <w:lang w:val="en-GB"/>
        </w:rPr>
      </w:pPr>
      <w:r w:rsidRPr="00C3592E">
        <w:rPr>
          <w:lang w:val="en-GB"/>
        </w:rPr>
        <w:br w:type="page"/>
      </w:r>
    </w:p>
    <w:p w:rsidR="00AA0C91" w:rsidRPr="00C3592E" w:rsidRDefault="00AA0C91" w:rsidP="00E71B51">
      <w:pPr>
        <w:spacing w:line="240" w:lineRule="auto"/>
        <w:jc w:val="center"/>
        <w:rPr>
          <w:b/>
          <w:sz w:val="28"/>
        </w:rPr>
      </w:pPr>
      <w:r w:rsidRPr="00C3592E">
        <w:rPr>
          <w:b/>
          <w:sz w:val="28"/>
        </w:rPr>
        <w:lastRenderedPageBreak/>
        <w:t>Trachoma</w:t>
      </w:r>
    </w:p>
    <w:p w:rsidR="00AA0C91" w:rsidRPr="00C3592E" w:rsidRDefault="00AA0C91" w:rsidP="00E71B51">
      <w:pPr>
        <w:spacing w:line="240" w:lineRule="auto"/>
        <w:rPr>
          <w:lang w:val="en-GB"/>
        </w:rPr>
      </w:pPr>
    </w:p>
    <w:p w:rsidR="00C3592E" w:rsidRPr="00C3592E" w:rsidRDefault="00C3592E" w:rsidP="00E71B51">
      <w:pPr>
        <w:spacing w:line="240" w:lineRule="auto"/>
        <w:rPr>
          <w:lang w:val="en-GB"/>
        </w:rPr>
      </w:pPr>
    </w:p>
    <w:p w:rsidR="00C3592E" w:rsidRPr="00C3592E" w:rsidRDefault="00C3592E" w:rsidP="00E71B51">
      <w:pPr>
        <w:spacing w:line="240" w:lineRule="auto"/>
        <w:rPr>
          <w:lang w:val="en-GB"/>
        </w:rPr>
      </w:pPr>
    </w:p>
    <w:p w:rsidR="00E71B51" w:rsidRPr="00C3592E" w:rsidRDefault="00E71B51" w:rsidP="00E71B51">
      <w:pPr>
        <w:spacing w:line="240" w:lineRule="auto"/>
        <w:rPr>
          <w:b/>
          <w:lang w:val="en-GB"/>
        </w:rPr>
      </w:pPr>
      <w:r>
        <w:rPr>
          <w:b/>
          <w:lang w:val="en-GB"/>
        </w:rPr>
        <w:t>Distribution of burden over country income groups</w:t>
      </w:r>
      <w:r w:rsidRPr="00C3592E">
        <w:rPr>
          <w:b/>
          <w:lang w:val="en-GB"/>
        </w:rPr>
        <w:t>, highlighting the countries contributing most to the 2010 disease burden:</w:t>
      </w:r>
    </w:p>
    <w:p w:rsidR="00AA0C91" w:rsidRPr="00C3592E" w:rsidRDefault="00AA0C91" w:rsidP="00E71B51">
      <w:pPr>
        <w:spacing w:line="240" w:lineRule="auto"/>
        <w:rPr>
          <w:lang w:val="en-GB"/>
        </w:rPr>
      </w:pPr>
    </w:p>
    <w:p w:rsidR="003A4443" w:rsidRPr="00C3592E" w:rsidRDefault="003505E6" w:rsidP="00E71B51">
      <w:pPr>
        <w:spacing w:line="240" w:lineRule="auto"/>
        <w:rPr>
          <w:lang w:val="en-GB"/>
        </w:rPr>
      </w:pPr>
      <w:r w:rsidRPr="003505E6">
        <w:rPr>
          <w:noProof/>
        </w:rPr>
        <w:drawing>
          <wp:inline distT="0" distB="0" distL="0" distR="0" wp14:anchorId="295E6A99" wp14:editId="262C29F4">
            <wp:extent cx="5731510" cy="249559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1510" cy="2495595"/>
                    </a:xfrm>
                    <a:prstGeom prst="rect">
                      <a:avLst/>
                    </a:prstGeom>
                    <a:noFill/>
                    <a:ln>
                      <a:noFill/>
                    </a:ln>
                  </pic:spPr>
                </pic:pic>
              </a:graphicData>
            </a:graphic>
          </wp:inline>
        </w:drawing>
      </w:r>
    </w:p>
    <w:p w:rsidR="003A4443" w:rsidRDefault="003A4443" w:rsidP="00E71B51">
      <w:pPr>
        <w:spacing w:line="240" w:lineRule="auto"/>
        <w:rPr>
          <w:lang w:val="en-GB"/>
        </w:rPr>
      </w:pPr>
    </w:p>
    <w:p w:rsidR="004162FF" w:rsidRDefault="004162FF" w:rsidP="00E71B51">
      <w:pPr>
        <w:spacing w:line="240" w:lineRule="auto"/>
        <w:rPr>
          <w:b/>
          <w:lang w:val="en-GB"/>
        </w:rPr>
      </w:pPr>
      <w:r>
        <w:rPr>
          <w:b/>
          <w:lang w:val="en-GB"/>
        </w:rPr>
        <w:t>Findings:</w:t>
      </w:r>
    </w:p>
    <w:p w:rsidR="004162FF" w:rsidRPr="00372713" w:rsidRDefault="004162FF" w:rsidP="00E71B51">
      <w:pPr>
        <w:pStyle w:val="ListParagraph"/>
        <w:numPr>
          <w:ilvl w:val="0"/>
          <w:numId w:val="22"/>
        </w:numPr>
        <w:spacing w:line="240" w:lineRule="auto"/>
        <w:ind w:left="360"/>
        <w:jc w:val="both"/>
        <w:rPr>
          <w:u w:val="single"/>
        </w:rPr>
      </w:pPr>
      <w:r w:rsidRPr="00372713">
        <w:rPr>
          <w:u w:val="single"/>
        </w:rPr>
        <w:t>Distribution of disease in 1990</w:t>
      </w:r>
      <w:r w:rsidRPr="00372713">
        <w:t>: Trachoma is endemic in the poorest regions of Africa, Asia, and the Middle East and in some parts of Latin America and Australia. It occurs in low, lower-middle and upper-middle income countries. In 1990, the lower-middle income group accounted for 56% of the burden, with India as main contributor (46% of the global burden); low and upper-middle income countries each accounted for 22% of the burden. Other high-burden countries were China (18%), Ethiopia (7%) and Pakistan (6%).</w:t>
      </w:r>
      <w:r w:rsidRPr="00372713">
        <w:rPr>
          <w:u w:val="single"/>
        </w:rPr>
        <w:t xml:space="preserve"> </w:t>
      </w:r>
    </w:p>
    <w:p w:rsidR="004162FF" w:rsidRPr="00372713" w:rsidRDefault="004162FF" w:rsidP="00E71B51">
      <w:pPr>
        <w:pStyle w:val="ListParagraph"/>
        <w:numPr>
          <w:ilvl w:val="0"/>
          <w:numId w:val="22"/>
        </w:numPr>
        <w:spacing w:line="240" w:lineRule="auto"/>
        <w:ind w:left="360"/>
        <w:jc w:val="both"/>
      </w:pPr>
      <w:r w:rsidRPr="00372713">
        <w:rPr>
          <w:u w:val="single"/>
        </w:rPr>
        <w:t>Change in burden between 1990 and 2010</w:t>
      </w:r>
      <w:r w:rsidRPr="00372713">
        <w:t>: The GBD data suggest a large increase in burden from 1990 to 2010. This can only partly be explained by population growth, and may reflect an underestimation of the 1990 burden. India, China, Pakistan and Ethiopia were still contributing most to the global burden (58%, 12%, 9% and 6% respectively).</w:t>
      </w:r>
    </w:p>
    <w:p w:rsidR="004162FF" w:rsidRPr="00372713" w:rsidRDefault="004162FF" w:rsidP="00E71B51">
      <w:pPr>
        <w:pStyle w:val="ListParagraph"/>
        <w:numPr>
          <w:ilvl w:val="0"/>
          <w:numId w:val="22"/>
        </w:numPr>
        <w:spacing w:line="240" w:lineRule="auto"/>
        <w:ind w:left="360"/>
        <w:jc w:val="both"/>
      </w:pPr>
      <w:r w:rsidRPr="00372713">
        <w:rPr>
          <w:u w:val="single"/>
        </w:rPr>
        <w:t>Impact of meeting the WHO targets</w:t>
      </w:r>
      <w:r w:rsidRPr="00372713">
        <w:t>: Although the transmission should be interrupted by 2020, the associated reduction in the burden of disease between 2010 and 2020 would be relatively modest (-17%). This is explained by the chronic nature of disability: although no new cases of low vision and blindness are expected, existing cases and the associated burden of disease will only disappear slowly. The distribution over income groups remains more or less constant.</w:t>
      </w:r>
    </w:p>
    <w:p w:rsidR="004162FF" w:rsidRPr="004162FF" w:rsidRDefault="004162FF" w:rsidP="00E71B51">
      <w:pPr>
        <w:spacing w:line="240" w:lineRule="auto"/>
        <w:rPr>
          <w:b/>
        </w:rPr>
      </w:pPr>
    </w:p>
    <w:p w:rsidR="003A4443" w:rsidRPr="00C3592E" w:rsidRDefault="003A4443" w:rsidP="00E71B51">
      <w:pPr>
        <w:spacing w:line="240" w:lineRule="auto"/>
        <w:rPr>
          <w:lang w:val="en-GB"/>
        </w:rPr>
      </w:pPr>
    </w:p>
    <w:p w:rsidR="003A4443" w:rsidRPr="00C3592E" w:rsidRDefault="003A4443" w:rsidP="00E71B51">
      <w:pPr>
        <w:spacing w:line="240" w:lineRule="auto"/>
        <w:rPr>
          <w:b/>
          <w:lang w:val="en-GB"/>
        </w:rPr>
      </w:pPr>
      <w:r w:rsidRPr="00C3592E">
        <w:rPr>
          <w:b/>
          <w:lang w:val="en-GB"/>
        </w:rPr>
        <w:t>Notes:</w:t>
      </w:r>
    </w:p>
    <w:p w:rsidR="003A4443" w:rsidRPr="00C3592E" w:rsidRDefault="00E71B51" w:rsidP="00E71B51">
      <w:pPr>
        <w:pStyle w:val="ListParagraph"/>
        <w:numPr>
          <w:ilvl w:val="0"/>
          <w:numId w:val="14"/>
        </w:numPr>
        <w:spacing w:line="240" w:lineRule="auto"/>
        <w:ind w:left="360"/>
        <w:jc w:val="both"/>
        <w:rPr>
          <w:lang w:val="en-GB"/>
        </w:rPr>
      </w:pPr>
      <w:r w:rsidRPr="00C3592E">
        <w:rPr>
          <w:lang w:val="en-GB"/>
        </w:rPr>
        <w:t>Sequelae considered</w:t>
      </w:r>
      <w:r>
        <w:rPr>
          <w:lang w:val="en-GB"/>
        </w:rPr>
        <w:t xml:space="preserve"> in GBD study</w:t>
      </w:r>
      <w:r w:rsidRPr="00C3592E">
        <w:rPr>
          <w:lang w:val="en-GB"/>
        </w:rPr>
        <w:t xml:space="preserve">: </w:t>
      </w:r>
      <w:r w:rsidR="00380EDD" w:rsidRPr="00C3592E">
        <w:rPr>
          <w:lang w:val="en-GB"/>
        </w:rPr>
        <w:t>low vision and blindness (both irreversible)</w:t>
      </w:r>
    </w:p>
    <w:p w:rsidR="003A4443" w:rsidRPr="00C3592E" w:rsidRDefault="003A4443" w:rsidP="00E71B51">
      <w:pPr>
        <w:pStyle w:val="ListParagraph"/>
        <w:spacing w:line="240" w:lineRule="auto"/>
        <w:ind w:left="360"/>
        <w:jc w:val="both"/>
        <w:rPr>
          <w:lang w:val="en-GB"/>
        </w:rPr>
      </w:pPr>
    </w:p>
    <w:p w:rsidR="00AA0C91" w:rsidRPr="00C3592E" w:rsidRDefault="00AA0C91" w:rsidP="00E71B51">
      <w:pPr>
        <w:spacing w:line="240" w:lineRule="auto"/>
        <w:rPr>
          <w:lang w:val="en-GB"/>
        </w:rPr>
      </w:pPr>
      <w:r w:rsidRPr="00C3592E">
        <w:rPr>
          <w:lang w:val="en-GB"/>
        </w:rPr>
        <w:br w:type="page"/>
      </w:r>
    </w:p>
    <w:p w:rsidR="00E12CF1" w:rsidRPr="00C3592E" w:rsidRDefault="00E12CF1" w:rsidP="00E71B51">
      <w:pPr>
        <w:spacing w:line="240" w:lineRule="auto"/>
        <w:jc w:val="center"/>
        <w:rPr>
          <w:b/>
          <w:sz w:val="28"/>
        </w:rPr>
      </w:pPr>
      <w:r w:rsidRPr="00C3592E">
        <w:rPr>
          <w:b/>
          <w:sz w:val="28"/>
        </w:rPr>
        <w:lastRenderedPageBreak/>
        <w:t>Chagas</w:t>
      </w:r>
      <w:r w:rsidR="00DF4C4E">
        <w:rPr>
          <w:b/>
          <w:sz w:val="28"/>
        </w:rPr>
        <w:t xml:space="preserve"> disease</w:t>
      </w:r>
    </w:p>
    <w:p w:rsidR="00E12CF1" w:rsidRPr="00C3592E" w:rsidRDefault="00E12CF1" w:rsidP="00E71B51">
      <w:pPr>
        <w:spacing w:line="240" w:lineRule="auto"/>
      </w:pPr>
    </w:p>
    <w:p w:rsidR="00C3592E" w:rsidRPr="00C3592E" w:rsidRDefault="00C3592E" w:rsidP="00E71B51">
      <w:pPr>
        <w:spacing w:line="240" w:lineRule="auto"/>
      </w:pPr>
    </w:p>
    <w:p w:rsidR="00C3592E" w:rsidRPr="00C3592E" w:rsidRDefault="00C3592E" w:rsidP="00E71B51">
      <w:pPr>
        <w:spacing w:line="240" w:lineRule="auto"/>
      </w:pPr>
    </w:p>
    <w:p w:rsidR="00E71B51" w:rsidRPr="00C3592E" w:rsidRDefault="00E71B51" w:rsidP="00E71B51">
      <w:pPr>
        <w:spacing w:line="240" w:lineRule="auto"/>
        <w:rPr>
          <w:b/>
          <w:lang w:val="en-GB"/>
        </w:rPr>
      </w:pPr>
      <w:r>
        <w:rPr>
          <w:b/>
          <w:lang w:val="en-GB"/>
        </w:rPr>
        <w:t>Distribution of burden over country income groups</w:t>
      </w:r>
      <w:r w:rsidRPr="00C3592E">
        <w:rPr>
          <w:b/>
          <w:lang w:val="en-GB"/>
        </w:rPr>
        <w:t>, highlighting the countries contributing most to the 2010 disease burden:</w:t>
      </w:r>
    </w:p>
    <w:p w:rsidR="00E12CF1" w:rsidRPr="00C3592E" w:rsidRDefault="00E12CF1" w:rsidP="00E71B51">
      <w:pPr>
        <w:spacing w:line="240" w:lineRule="auto"/>
        <w:rPr>
          <w:lang w:val="en-GB"/>
        </w:rPr>
      </w:pPr>
    </w:p>
    <w:p w:rsidR="00E12CF1" w:rsidRPr="00C3592E" w:rsidRDefault="00DE0282" w:rsidP="00E71B51">
      <w:pPr>
        <w:spacing w:line="240" w:lineRule="auto"/>
      </w:pPr>
      <w:r w:rsidRPr="00DE0282">
        <w:rPr>
          <w:noProof/>
        </w:rPr>
        <w:drawing>
          <wp:inline distT="0" distB="0" distL="0" distR="0" wp14:anchorId="4365C610" wp14:editId="326C3419">
            <wp:extent cx="5731510" cy="2507536"/>
            <wp:effectExtent l="0" t="0" r="254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1510" cy="2507536"/>
                    </a:xfrm>
                    <a:prstGeom prst="rect">
                      <a:avLst/>
                    </a:prstGeom>
                    <a:noFill/>
                    <a:ln>
                      <a:noFill/>
                    </a:ln>
                  </pic:spPr>
                </pic:pic>
              </a:graphicData>
            </a:graphic>
          </wp:inline>
        </w:drawing>
      </w:r>
    </w:p>
    <w:p w:rsidR="004162FF" w:rsidRDefault="004162FF" w:rsidP="00E71B51">
      <w:pPr>
        <w:spacing w:line="240" w:lineRule="auto"/>
        <w:rPr>
          <w:b/>
        </w:rPr>
      </w:pPr>
    </w:p>
    <w:p w:rsidR="004162FF" w:rsidRPr="00C3592E" w:rsidRDefault="004162FF" w:rsidP="00E71B51">
      <w:pPr>
        <w:spacing w:line="240" w:lineRule="auto"/>
        <w:rPr>
          <w:b/>
        </w:rPr>
      </w:pPr>
      <w:r>
        <w:rPr>
          <w:b/>
        </w:rPr>
        <w:t>Findings:</w:t>
      </w:r>
    </w:p>
    <w:p w:rsidR="004162FF" w:rsidRPr="00372713" w:rsidRDefault="004162FF" w:rsidP="00E71B51">
      <w:pPr>
        <w:pStyle w:val="ListParagraph"/>
        <w:numPr>
          <w:ilvl w:val="0"/>
          <w:numId w:val="22"/>
        </w:numPr>
        <w:spacing w:line="240" w:lineRule="auto"/>
        <w:ind w:left="360"/>
        <w:jc w:val="both"/>
      </w:pPr>
      <w:r w:rsidRPr="00372713">
        <w:rPr>
          <w:u w:val="single"/>
        </w:rPr>
        <w:t>Distribution of disease in 1990</w:t>
      </w:r>
      <w:r w:rsidRPr="00372713">
        <w:t>: Unlike most other NTDs, Chagas disease is concentrated mostly in upper-middle income countries. This is caused by regional clustering: the disease is restricted to the Latin American and Caribbean region, where most countries are in the upper-middle income group. In 1990, the Chagas disease burden distribution over income groups within the American region largely reflected the population distribution. The three countries contributing most the total burden in 1990 were Brazil (56%), Mexico (14%) and Argentina (7%).</w:t>
      </w:r>
    </w:p>
    <w:p w:rsidR="004162FF" w:rsidRPr="00372713" w:rsidRDefault="004162FF" w:rsidP="00E71B51">
      <w:pPr>
        <w:pStyle w:val="ListParagraph"/>
        <w:numPr>
          <w:ilvl w:val="0"/>
          <w:numId w:val="22"/>
        </w:numPr>
        <w:spacing w:line="240" w:lineRule="auto"/>
        <w:ind w:left="360"/>
      </w:pPr>
      <w:r w:rsidRPr="00372713">
        <w:rPr>
          <w:u w:val="single"/>
        </w:rPr>
        <w:t>Change in burden between 1990 and 2010</w:t>
      </w:r>
      <w:r w:rsidRPr="00372713">
        <w:t>: The GBD data indicate that there was a small reduction in the overall disease burden, which was unevenly distributed between income groups: the burden was reduced (</w:t>
      </w:r>
      <w:r w:rsidRPr="00372713">
        <w:noBreakHyphen/>
        <w:t xml:space="preserve">9%) in upper-middle income countries, while the burden in lower-middle income countries increased (+27%). Brazil, Mexico and Argentina remained the top three contributing countries to the 2010 burden. </w:t>
      </w:r>
    </w:p>
    <w:p w:rsidR="004162FF" w:rsidRPr="00372713" w:rsidRDefault="004162FF" w:rsidP="00E71B51">
      <w:pPr>
        <w:pStyle w:val="ListParagraph"/>
        <w:numPr>
          <w:ilvl w:val="0"/>
          <w:numId w:val="22"/>
        </w:numPr>
        <w:spacing w:line="240" w:lineRule="auto"/>
        <w:ind w:left="360"/>
        <w:jc w:val="both"/>
      </w:pPr>
      <w:r w:rsidRPr="00372713">
        <w:rPr>
          <w:u w:val="single"/>
        </w:rPr>
        <w:t>Impact of meeting the WHO targets for 2020</w:t>
      </w:r>
      <w:r w:rsidRPr="00372713">
        <w:t>: the burden of disease would be reduced by 43%. A considerable burden would remain because the clinical manifestations of Chagas are mostly chronic and existing cases are not cured by the interventions. Also, the infection would not be eliminated completely by 2020.</w:t>
      </w:r>
    </w:p>
    <w:p w:rsidR="004162FF" w:rsidRPr="00C3592E" w:rsidRDefault="004162FF" w:rsidP="00E71B51">
      <w:pPr>
        <w:spacing w:line="240" w:lineRule="auto"/>
        <w:rPr>
          <w:b/>
        </w:rPr>
      </w:pPr>
    </w:p>
    <w:p w:rsidR="00E12CF1" w:rsidRPr="00C3592E" w:rsidRDefault="00E12CF1" w:rsidP="00E71B51">
      <w:pPr>
        <w:spacing w:line="240" w:lineRule="auto"/>
        <w:rPr>
          <w:b/>
          <w:lang w:val="en-GB"/>
        </w:rPr>
      </w:pPr>
    </w:p>
    <w:p w:rsidR="00E12CF1" w:rsidRPr="00C3592E" w:rsidRDefault="00E12CF1" w:rsidP="00E71B51">
      <w:pPr>
        <w:spacing w:line="240" w:lineRule="auto"/>
        <w:rPr>
          <w:b/>
        </w:rPr>
      </w:pPr>
      <w:r w:rsidRPr="00C3592E">
        <w:rPr>
          <w:b/>
        </w:rPr>
        <w:t>Notes:</w:t>
      </w:r>
    </w:p>
    <w:p w:rsidR="00E12CF1" w:rsidRPr="00C3592E" w:rsidRDefault="00E71B51" w:rsidP="00E71B51">
      <w:pPr>
        <w:pStyle w:val="ListParagraph"/>
        <w:numPr>
          <w:ilvl w:val="0"/>
          <w:numId w:val="14"/>
        </w:numPr>
        <w:spacing w:line="240" w:lineRule="auto"/>
        <w:ind w:left="360"/>
        <w:jc w:val="both"/>
        <w:rPr>
          <w:lang w:val="en-GB"/>
        </w:rPr>
      </w:pPr>
      <w:r w:rsidRPr="00C3592E">
        <w:rPr>
          <w:lang w:val="en-GB"/>
        </w:rPr>
        <w:t>Sequelae considered</w:t>
      </w:r>
      <w:r>
        <w:rPr>
          <w:lang w:val="en-GB"/>
        </w:rPr>
        <w:t xml:space="preserve"> in GBD study</w:t>
      </w:r>
      <w:r w:rsidRPr="00C3592E">
        <w:rPr>
          <w:lang w:val="en-GB"/>
        </w:rPr>
        <w:t xml:space="preserve">: </w:t>
      </w:r>
      <w:r w:rsidR="00E12CF1" w:rsidRPr="00C3592E">
        <w:rPr>
          <w:lang w:val="en-GB"/>
        </w:rPr>
        <w:t xml:space="preserve">acute </w:t>
      </w:r>
      <w:proofErr w:type="spellStart"/>
      <w:r w:rsidR="00E12CF1" w:rsidRPr="00C3592E">
        <w:rPr>
          <w:lang w:val="en-GB"/>
        </w:rPr>
        <w:t>chagas</w:t>
      </w:r>
      <w:proofErr w:type="spellEnd"/>
      <w:r w:rsidR="00E12CF1" w:rsidRPr="00C3592E">
        <w:rPr>
          <w:lang w:val="en-GB"/>
        </w:rPr>
        <w:t xml:space="preserve"> disease (reversible), chronic heart disease (irreversible), chronic digestive disease (irreversible), heart failure due to Chagas’ disease (irreversible)</w:t>
      </w:r>
    </w:p>
    <w:p w:rsidR="00E12CF1" w:rsidRPr="00C3592E" w:rsidRDefault="00E12CF1" w:rsidP="00E71B51">
      <w:pPr>
        <w:pStyle w:val="ListParagraph"/>
        <w:numPr>
          <w:ilvl w:val="0"/>
          <w:numId w:val="14"/>
        </w:numPr>
        <w:spacing w:line="240" w:lineRule="auto"/>
        <w:ind w:left="360"/>
        <w:jc w:val="both"/>
        <w:rPr>
          <w:lang w:val="en-GB"/>
        </w:rPr>
      </w:pPr>
      <w:r w:rsidRPr="00C3592E">
        <w:rPr>
          <w:lang w:val="en-GB"/>
        </w:rPr>
        <w:t>Data only capture burden in endemic countries of Latin America and the Caribbean and not the burden in migrants who now live in other regions</w:t>
      </w:r>
    </w:p>
    <w:p w:rsidR="00E12CF1" w:rsidRPr="00C3592E" w:rsidRDefault="00E12CF1" w:rsidP="00E71B51">
      <w:pPr>
        <w:pStyle w:val="ListParagraph"/>
        <w:numPr>
          <w:ilvl w:val="0"/>
          <w:numId w:val="14"/>
        </w:numPr>
        <w:spacing w:line="240" w:lineRule="auto"/>
        <w:ind w:left="360"/>
        <w:jc w:val="both"/>
        <w:rPr>
          <w:lang w:val="en-GB"/>
        </w:rPr>
      </w:pPr>
      <w:r w:rsidRPr="00C3592E">
        <w:rPr>
          <w:lang w:val="en-GB"/>
        </w:rPr>
        <w:t>There are great concerns about the reliability of these data, which are based on limited data</w:t>
      </w:r>
    </w:p>
    <w:p w:rsidR="00E12CF1" w:rsidRPr="00C3592E" w:rsidRDefault="00E12CF1" w:rsidP="00E71B51">
      <w:pPr>
        <w:pStyle w:val="ListParagraph"/>
        <w:spacing w:line="240" w:lineRule="auto"/>
        <w:ind w:left="360"/>
        <w:jc w:val="both"/>
        <w:rPr>
          <w:lang w:val="en-GB"/>
        </w:rPr>
      </w:pPr>
    </w:p>
    <w:p w:rsidR="00E12CF1" w:rsidRPr="00E71B51" w:rsidRDefault="00E12CF1" w:rsidP="00E71B51">
      <w:pPr>
        <w:pStyle w:val="ListParagraph"/>
        <w:numPr>
          <w:ilvl w:val="0"/>
          <w:numId w:val="14"/>
        </w:numPr>
        <w:spacing w:line="240" w:lineRule="auto"/>
        <w:ind w:left="360"/>
        <w:jc w:val="both"/>
        <w:rPr>
          <w:lang w:val="en-GB"/>
        </w:rPr>
      </w:pPr>
      <w:r w:rsidRPr="00E71B51">
        <w:rPr>
          <w:lang w:val="en-GB"/>
        </w:rPr>
        <w:br w:type="page"/>
      </w:r>
    </w:p>
    <w:p w:rsidR="00E12CF1" w:rsidRPr="00C3592E" w:rsidRDefault="00693941" w:rsidP="00E71B51">
      <w:pPr>
        <w:spacing w:line="240" w:lineRule="auto"/>
        <w:jc w:val="center"/>
        <w:rPr>
          <w:b/>
          <w:sz w:val="28"/>
        </w:rPr>
      </w:pPr>
      <w:r>
        <w:rPr>
          <w:b/>
          <w:sz w:val="28"/>
        </w:rPr>
        <w:lastRenderedPageBreak/>
        <w:t>Human African t</w:t>
      </w:r>
      <w:r w:rsidR="00E12CF1" w:rsidRPr="00C3592E">
        <w:rPr>
          <w:b/>
          <w:sz w:val="28"/>
        </w:rPr>
        <w:t>rypanosomiasis</w:t>
      </w:r>
    </w:p>
    <w:p w:rsidR="00E12CF1" w:rsidRPr="00C3592E" w:rsidRDefault="00E12CF1" w:rsidP="00E71B51">
      <w:pPr>
        <w:spacing w:line="240" w:lineRule="auto"/>
        <w:rPr>
          <w:lang w:val="en-GB"/>
        </w:rPr>
      </w:pPr>
    </w:p>
    <w:p w:rsidR="00C3592E" w:rsidRPr="00C3592E" w:rsidRDefault="00C3592E" w:rsidP="00E71B51">
      <w:pPr>
        <w:spacing w:line="240" w:lineRule="auto"/>
        <w:rPr>
          <w:lang w:val="en-GB"/>
        </w:rPr>
      </w:pPr>
    </w:p>
    <w:p w:rsidR="00C3592E" w:rsidRPr="00C3592E" w:rsidRDefault="00C3592E" w:rsidP="00E71B51">
      <w:pPr>
        <w:spacing w:line="240" w:lineRule="auto"/>
        <w:rPr>
          <w:lang w:val="en-GB"/>
        </w:rPr>
      </w:pPr>
    </w:p>
    <w:p w:rsidR="00E71B51" w:rsidRPr="00C3592E" w:rsidRDefault="00E71B51" w:rsidP="00E71B51">
      <w:pPr>
        <w:spacing w:line="240" w:lineRule="auto"/>
        <w:rPr>
          <w:b/>
          <w:lang w:val="en-GB"/>
        </w:rPr>
      </w:pPr>
      <w:r>
        <w:rPr>
          <w:b/>
          <w:lang w:val="en-GB"/>
        </w:rPr>
        <w:t>Distribution of burden over country income groups</w:t>
      </w:r>
      <w:r w:rsidRPr="00C3592E">
        <w:rPr>
          <w:b/>
          <w:lang w:val="en-GB"/>
        </w:rPr>
        <w:t>, highlighting the countries contributing most to the 2010 disease burden:</w:t>
      </w:r>
    </w:p>
    <w:p w:rsidR="00E12CF1" w:rsidRPr="00C3592E" w:rsidRDefault="00E12CF1" w:rsidP="00E71B51">
      <w:pPr>
        <w:spacing w:line="240" w:lineRule="auto"/>
        <w:rPr>
          <w:lang w:val="en-GB"/>
        </w:rPr>
      </w:pPr>
    </w:p>
    <w:p w:rsidR="00E12CF1" w:rsidRPr="00C3592E" w:rsidRDefault="00822F4B" w:rsidP="00E71B51">
      <w:pPr>
        <w:spacing w:line="240" w:lineRule="auto"/>
        <w:rPr>
          <w:lang w:val="en-GB"/>
        </w:rPr>
      </w:pPr>
      <w:r w:rsidRPr="00822F4B">
        <w:rPr>
          <w:noProof/>
        </w:rPr>
        <w:drawing>
          <wp:inline distT="0" distB="0" distL="0" distR="0" wp14:anchorId="6F5F5FA1" wp14:editId="38E49DD9">
            <wp:extent cx="5731510" cy="2459773"/>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1510" cy="2459773"/>
                    </a:xfrm>
                    <a:prstGeom prst="rect">
                      <a:avLst/>
                    </a:prstGeom>
                    <a:noFill/>
                    <a:ln>
                      <a:noFill/>
                    </a:ln>
                  </pic:spPr>
                </pic:pic>
              </a:graphicData>
            </a:graphic>
          </wp:inline>
        </w:drawing>
      </w:r>
    </w:p>
    <w:p w:rsidR="008C12E7" w:rsidRDefault="008C12E7" w:rsidP="00E71B51">
      <w:pPr>
        <w:spacing w:line="240" w:lineRule="auto"/>
        <w:jc w:val="both"/>
        <w:rPr>
          <w:b/>
          <w:lang w:val="en-GB"/>
        </w:rPr>
      </w:pPr>
    </w:p>
    <w:p w:rsidR="00E71B51" w:rsidRPr="004162FF" w:rsidRDefault="00E71B51" w:rsidP="00E71B51">
      <w:pPr>
        <w:spacing w:line="240" w:lineRule="auto"/>
        <w:jc w:val="both"/>
        <w:rPr>
          <w:b/>
          <w:lang w:val="en-GB"/>
        </w:rPr>
      </w:pPr>
      <w:r w:rsidRPr="004162FF">
        <w:rPr>
          <w:b/>
          <w:lang w:val="en-GB"/>
        </w:rPr>
        <w:t>Findings:</w:t>
      </w:r>
    </w:p>
    <w:p w:rsidR="004162FF" w:rsidRPr="00372713" w:rsidRDefault="004162FF" w:rsidP="00E71B51">
      <w:pPr>
        <w:pStyle w:val="ListParagraph"/>
        <w:numPr>
          <w:ilvl w:val="0"/>
          <w:numId w:val="22"/>
        </w:numPr>
        <w:spacing w:line="240" w:lineRule="auto"/>
        <w:ind w:left="360"/>
        <w:jc w:val="both"/>
        <w:rPr>
          <w:u w:val="single"/>
        </w:rPr>
      </w:pPr>
      <w:r w:rsidRPr="00372713">
        <w:rPr>
          <w:u w:val="single"/>
        </w:rPr>
        <w:t>Distribution of disease in 1990</w:t>
      </w:r>
      <w:r w:rsidRPr="00372713">
        <w:t xml:space="preserve">: Of all NTDs included in the study, HAT shows the highest concentration in low income countries. The disease occurs only in Sub Sahara Africa, and within this region is it concentrated in the low and lower-middle income countries. The geographic distribution is directly linked to the range of its vector, the </w:t>
      </w:r>
      <w:proofErr w:type="spellStart"/>
      <w:r w:rsidRPr="00372713">
        <w:t>tse</w:t>
      </w:r>
      <w:proofErr w:type="spellEnd"/>
      <w:r w:rsidRPr="00372713">
        <w:t xml:space="preserve"> </w:t>
      </w:r>
      <w:proofErr w:type="spellStart"/>
      <w:r w:rsidRPr="00372713">
        <w:t>tse</w:t>
      </w:r>
      <w:proofErr w:type="spellEnd"/>
      <w:r w:rsidRPr="00372713">
        <w:t xml:space="preserve"> fly. By 1990, the lowest income countries held 53% of the regional population, but almost 70% of the burden. The three countries contributing most to the total burden were Democratic Republic of Congo (30%), Uganda (24%) and Ghana (12%).</w:t>
      </w:r>
    </w:p>
    <w:p w:rsidR="004162FF" w:rsidRPr="00372713" w:rsidRDefault="004162FF" w:rsidP="00E71B51">
      <w:pPr>
        <w:pStyle w:val="ListParagraph"/>
        <w:numPr>
          <w:ilvl w:val="0"/>
          <w:numId w:val="22"/>
        </w:numPr>
        <w:spacing w:line="240" w:lineRule="auto"/>
        <w:ind w:left="360"/>
        <w:jc w:val="both"/>
        <w:rPr>
          <w:u w:val="single"/>
        </w:rPr>
      </w:pPr>
      <w:r w:rsidRPr="00372713">
        <w:rPr>
          <w:u w:val="single"/>
        </w:rPr>
        <w:t>Distribution of impact of control between 1990 and 2010</w:t>
      </w:r>
      <w:r w:rsidRPr="00372713">
        <w:t>: The overall burden of disease was reduced by over 70%, but the impact was unevenly distributed over income groups: the burden in lower middle income countries was reduced by 93% and the relative reduction was similarly high in upper middle and high income countries. However, the reduction in low income countries was only 63%. By 2010 the disease almost exclusively appears in low income countries. By 2010, Democratic Republic of Congo, Central African Republic and Chad were most affected, holding respectively 52%, 16% and 14% of the total HAT burden.</w:t>
      </w:r>
      <w:r w:rsidRPr="00372713">
        <w:rPr>
          <w:u w:val="single"/>
        </w:rPr>
        <w:t xml:space="preserve"> </w:t>
      </w:r>
    </w:p>
    <w:p w:rsidR="004162FF" w:rsidRPr="00372713" w:rsidRDefault="004162FF" w:rsidP="00E71B51">
      <w:pPr>
        <w:pStyle w:val="ListParagraph"/>
        <w:numPr>
          <w:ilvl w:val="0"/>
          <w:numId w:val="22"/>
        </w:numPr>
        <w:spacing w:line="240" w:lineRule="auto"/>
        <w:ind w:left="360"/>
        <w:jc w:val="both"/>
        <w:rPr>
          <w:u w:val="single"/>
        </w:rPr>
      </w:pPr>
      <w:r w:rsidRPr="00372713">
        <w:rPr>
          <w:u w:val="single"/>
        </w:rPr>
        <w:t>Impact of meeting the WHO targets for 2020</w:t>
      </w:r>
      <w:r w:rsidRPr="00372713">
        <w:t>: If the WHO targets for 2020 were met, the burden of disease would almost completely disappear because the infection would be eliminated in 90% of the foci, and remaining cases would be detected and successfully treated.</w:t>
      </w:r>
    </w:p>
    <w:p w:rsidR="004162FF" w:rsidRPr="00C3592E" w:rsidRDefault="004162FF" w:rsidP="00E71B51">
      <w:pPr>
        <w:spacing w:line="240" w:lineRule="auto"/>
        <w:jc w:val="both"/>
      </w:pPr>
    </w:p>
    <w:p w:rsidR="00E12CF1" w:rsidRPr="00C3592E" w:rsidRDefault="00E12CF1" w:rsidP="00E71B51">
      <w:pPr>
        <w:spacing w:line="240" w:lineRule="auto"/>
        <w:rPr>
          <w:b/>
          <w:lang w:val="en-GB"/>
        </w:rPr>
      </w:pPr>
    </w:p>
    <w:p w:rsidR="00E12CF1" w:rsidRPr="00C3592E" w:rsidRDefault="00E12CF1" w:rsidP="00E71B51">
      <w:pPr>
        <w:spacing w:line="240" w:lineRule="auto"/>
        <w:rPr>
          <w:b/>
        </w:rPr>
      </w:pPr>
      <w:r w:rsidRPr="00C3592E">
        <w:rPr>
          <w:b/>
        </w:rPr>
        <w:t>Notes:</w:t>
      </w:r>
    </w:p>
    <w:p w:rsidR="00E12CF1" w:rsidRPr="00C3592E" w:rsidRDefault="00E71B51" w:rsidP="00E71B51">
      <w:pPr>
        <w:pStyle w:val="ListParagraph"/>
        <w:numPr>
          <w:ilvl w:val="0"/>
          <w:numId w:val="14"/>
        </w:numPr>
        <w:spacing w:line="240" w:lineRule="auto"/>
        <w:ind w:left="360"/>
        <w:rPr>
          <w:lang w:val="en-GB"/>
        </w:rPr>
      </w:pPr>
      <w:r w:rsidRPr="00C3592E">
        <w:rPr>
          <w:lang w:val="en-GB"/>
        </w:rPr>
        <w:t>Sequelae considered</w:t>
      </w:r>
      <w:r>
        <w:rPr>
          <w:lang w:val="en-GB"/>
        </w:rPr>
        <w:t xml:space="preserve"> in GBD study</w:t>
      </w:r>
      <w:r w:rsidRPr="00C3592E">
        <w:rPr>
          <w:lang w:val="en-GB"/>
        </w:rPr>
        <w:t xml:space="preserve">: </w:t>
      </w:r>
      <w:r w:rsidR="00E12CF1" w:rsidRPr="00C3592E">
        <w:rPr>
          <w:lang w:val="en-GB"/>
        </w:rPr>
        <w:t xml:space="preserve">human </w:t>
      </w:r>
      <w:proofErr w:type="spellStart"/>
      <w:r w:rsidR="00E12CF1" w:rsidRPr="00C3592E">
        <w:rPr>
          <w:lang w:val="en-GB"/>
        </w:rPr>
        <w:t>african</w:t>
      </w:r>
      <w:proofErr w:type="spellEnd"/>
      <w:r w:rsidR="00E12CF1" w:rsidRPr="00C3592E">
        <w:rPr>
          <w:lang w:val="en-GB"/>
        </w:rPr>
        <w:t xml:space="preserve"> trypanosomiasis, leading to death if not successfully treated</w:t>
      </w:r>
    </w:p>
    <w:p w:rsidR="00E12CF1" w:rsidRPr="00C3592E" w:rsidRDefault="007E34C0" w:rsidP="00E71B51">
      <w:pPr>
        <w:pStyle w:val="ListParagraph"/>
        <w:numPr>
          <w:ilvl w:val="0"/>
          <w:numId w:val="14"/>
        </w:numPr>
        <w:spacing w:line="240" w:lineRule="auto"/>
        <w:ind w:left="360"/>
        <w:jc w:val="both"/>
        <w:rPr>
          <w:lang w:val="en-GB"/>
        </w:rPr>
      </w:pPr>
      <w:r>
        <w:rPr>
          <w:lang w:val="en-GB"/>
        </w:rPr>
        <w:t>T</w:t>
      </w:r>
      <w:r w:rsidR="00E12CF1" w:rsidRPr="00C3592E">
        <w:rPr>
          <w:lang w:val="en-GB"/>
        </w:rPr>
        <w:t>he number of new detected and treated cases (19,108) and the number of new cases that will die (9,554) adds up to 28,211 new cases in 2010. This number is clearly a substantial overestimation of what is known in WHO records: 7139 new reported cases in 2010.</w:t>
      </w:r>
    </w:p>
    <w:p w:rsidR="00E12CF1" w:rsidRPr="00C3592E" w:rsidRDefault="00E12CF1" w:rsidP="00E71B51">
      <w:pPr>
        <w:pStyle w:val="ListParagraph"/>
        <w:spacing w:line="240" w:lineRule="auto"/>
        <w:ind w:left="360"/>
        <w:jc w:val="both"/>
        <w:rPr>
          <w:lang w:val="en-GB"/>
        </w:rPr>
      </w:pPr>
    </w:p>
    <w:p w:rsidR="00E12CF1" w:rsidRPr="00C3592E" w:rsidRDefault="00E12CF1" w:rsidP="008C12E7">
      <w:pPr>
        <w:pStyle w:val="ListParagraph"/>
        <w:spacing w:line="240" w:lineRule="auto"/>
        <w:ind w:left="360"/>
        <w:jc w:val="both"/>
        <w:rPr>
          <w:lang w:val="en-GB"/>
        </w:rPr>
      </w:pPr>
    </w:p>
    <w:p w:rsidR="00E12CF1" w:rsidRPr="00C3592E" w:rsidRDefault="00E12CF1" w:rsidP="00E71B51">
      <w:pPr>
        <w:spacing w:line="240" w:lineRule="auto"/>
        <w:jc w:val="both"/>
        <w:rPr>
          <w:lang w:val="en-GB"/>
        </w:rPr>
      </w:pPr>
    </w:p>
    <w:p w:rsidR="00E12CF1" w:rsidRPr="00C3592E" w:rsidRDefault="00E12CF1" w:rsidP="00E71B51">
      <w:pPr>
        <w:pStyle w:val="ListParagraph"/>
        <w:spacing w:line="240" w:lineRule="auto"/>
        <w:ind w:left="360"/>
        <w:jc w:val="both"/>
        <w:rPr>
          <w:lang w:val="en-GB"/>
        </w:rPr>
      </w:pPr>
    </w:p>
    <w:p w:rsidR="00E12CF1" w:rsidRPr="00C3592E" w:rsidRDefault="00E12CF1" w:rsidP="00E71B51">
      <w:pPr>
        <w:spacing w:line="240" w:lineRule="auto"/>
        <w:rPr>
          <w:lang w:val="en-GB"/>
        </w:rPr>
      </w:pPr>
    </w:p>
    <w:p w:rsidR="00E12CF1" w:rsidRPr="00C3592E" w:rsidRDefault="00E12CF1" w:rsidP="00E71B51">
      <w:pPr>
        <w:spacing w:line="240" w:lineRule="auto"/>
        <w:rPr>
          <w:lang w:val="en-GB"/>
        </w:rPr>
      </w:pPr>
      <w:r w:rsidRPr="00C3592E">
        <w:rPr>
          <w:lang w:val="en-GB"/>
        </w:rPr>
        <w:br w:type="page"/>
      </w:r>
    </w:p>
    <w:p w:rsidR="0078108C" w:rsidRPr="00C3592E" w:rsidRDefault="0078108C" w:rsidP="00E71B51">
      <w:pPr>
        <w:spacing w:line="240" w:lineRule="auto"/>
        <w:jc w:val="center"/>
        <w:rPr>
          <w:b/>
          <w:sz w:val="28"/>
        </w:rPr>
      </w:pPr>
      <w:r w:rsidRPr="00C3592E">
        <w:rPr>
          <w:b/>
          <w:sz w:val="28"/>
        </w:rPr>
        <w:lastRenderedPageBreak/>
        <w:t>Leprosy</w:t>
      </w:r>
    </w:p>
    <w:p w:rsidR="0078108C" w:rsidRPr="00C3592E" w:rsidRDefault="0078108C" w:rsidP="00E71B51">
      <w:pPr>
        <w:spacing w:line="240" w:lineRule="auto"/>
        <w:rPr>
          <w:lang w:val="en-GB"/>
        </w:rPr>
      </w:pPr>
    </w:p>
    <w:p w:rsidR="00C3592E" w:rsidRPr="00C3592E" w:rsidRDefault="00C3592E" w:rsidP="00E71B51">
      <w:pPr>
        <w:spacing w:line="240" w:lineRule="auto"/>
        <w:rPr>
          <w:lang w:val="en-GB"/>
        </w:rPr>
      </w:pPr>
    </w:p>
    <w:p w:rsidR="00C3592E" w:rsidRPr="00C3592E" w:rsidRDefault="00C3592E" w:rsidP="00E71B51">
      <w:pPr>
        <w:spacing w:line="240" w:lineRule="auto"/>
        <w:rPr>
          <w:lang w:val="en-GB"/>
        </w:rPr>
      </w:pPr>
    </w:p>
    <w:p w:rsidR="00E71B51" w:rsidRPr="00C3592E" w:rsidRDefault="00E71B51" w:rsidP="00E71B51">
      <w:pPr>
        <w:spacing w:line="240" w:lineRule="auto"/>
        <w:rPr>
          <w:b/>
          <w:lang w:val="en-GB"/>
        </w:rPr>
      </w:pPr>
      <w:r>
        <w:rPr>
          <w:b/>
          <w:lang w:val="en-GB"/>
        </w:rPr>
        <w:t>Distribution of burden over country income groups</w:t>
      </w:r>
      <w:r w:rsidRPr="00C3592E">
        <w:rPr>
          <w:b/>
          <w:lang w:val="en-GB"/>
        </w:rPr>
        <w:t>, highlighting the countries contributing most to the 2010 disease burden:</w:t>
      </w:r>
    </w:p>
    <w:p w:rsidR="0078108C" w:rsidRPr="00C3592E" w:rsidRDefault="0078108C" w:rsidP="00E71B51">
      <w:pPr>
        <w:spacing w:line="240" w:lineRule="auto"/>
        <w:rPr>
          <w:lang w:val="en-GB"/>
        </w:rPr>
      </w:pPr>
    </w:p>
    <w:p w:rsidR="0078108C" w:rsidRPr="00C3592E" w:rsidRDefault="002E6105" w:rsidP="00E71B51">
      <w:pPr>
        <w:spacing w:line="240" w:lineRule="auto"/>
        <w:rPr>
          <w:lang w:val="en-GB"/>
        </w:rPr>
      </w:pPr>
      <w:r w:rsidRPr="002E6105">
        <w:rPr>
          <w:noProof/>
        </w:rPr>
        <w:drawing>
          <wp:inline distT="0" distB="0" distL="0" distR="0" wp14:anchorId="66AB0AD0" wp14:editId="4ACAB689">
            <wp:extent cx="5731510" cy="2423951"/>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31510" cy="2423951"/>
                    </a:xfrm>
                    <a:prstGeom prst="rect">
                      <a:avLst/>
                    </a:prstGeom>
                    <a:noFill/>
                    <a:ln>
                      <a:noFill/>
                    </a:ln>
                  </pic:spPr>
                </pic:pic>
              </a:graphicData>
            </a:graphic>
          </wp:inline>
        </w:drawing>
      </w:r>
    </w:p>
    <w:p w:rsidR="0078108C" w:rsidRPr="00C3592E" w:rsidRDefault="0078108C" w:rsidP="00E71B51">
      <w:pPr>
        <w:spacing w:line="240" w:lineRule="auto"/>
        <w:rPr>
          <w:lang w:val="en-GB"/>
        </w:rPr>
      </w:pPr>
    </w:p>
    <w:p w:rsidR="004162FF" w:rsidRPr="00E71B51" w:rsidRDefault="00E71B51" w:rsidP="00E71B51">
      <w:pPr>
        <w:spacing w:line="240" w:lineRule="auto"/>
        <w:jc w:val="both"/>
        <w:rPr>
          <w:b/>
          <w:lang w:val="en-GB"/>
        </w:rPr>
      </w:pPr>
      <w:r w:rsidRPr="004162FF">
        <w:rPr>
          <w:b/>
          <w:lang w:val="en-GB"/>
        </w:rPr>
        <w:t>Findings:</w:t>
      </w:r>
    </w:p>
    <w:p w:rsidR="004162FF" w:rsidRPr="00372713" w:rsidRDefault="004162FF" w:rsidP="00E71B51">
      <w:pPr>
        <w:pStyle w:val="ListParagraph"/>
        <w:numPr>
          <w:ilvl w:val="0"/>
          <w:numId w:val="22"/>
        </w:numPr>
        <w:spacing w:line="240" w:lineRule="auto"/>
        <w:ind w:left="360"/>
        <w:jc w:val="both"/>
        <w:rPr>
          <w:u w:val="single"/>
        </w:rPr>
      </w:pPr>
      <w:r w:rsidRPr="00372713">
        <w:rPr>
          <w:u w:val="single"/>
        </w:rPr>
        <w:t>Distribution of disease in 1990</w:t>
      </w:r>
      <w:r w:rsidRPr="00372713">
        <w:t xml:space="preserve">: In 1990, leprosy </w:t>
      </w:r>
      <w:proofErr w:type="spellStart"/>
      <w:r w:rsidRPr="00372713">
        <w:t>occured</w:t>
      </w:r>
      <w:proofErr w:type="spellEnd"/>
      <w:r w:rsidRPr="00372713">
        <w:t xml:space="preserve"> in low, lower-middle and upper-middle income countries, the lower-middle category holding ¾ of the total burden. India accounted for 62% of the 1990 burden, Brazil for 12% and Indonesia for another 5%.</w:t>
      </w:r>
      <w:r w:rsidRPr="00372713">
        <w:rPr>
          <w:u w:val="single"/>
        </w:rPr>
        <w:t xml:space="preserve"> </w:t>
      </w:r>
    </w:p>
    <w:p w:rsidR="004162FF" w:rsidRPr="00372713" w:rsidRDefault="004162FF" w:rsidP="00E71B51">
      <w:pPr>
        <w:pStyle w:val="ListParagraph"/>
        <w:numPr>
          <w:ilvl w:val="0"/>
          <w:numId w:val="22"/>
        </w:numPr>
        <w:spacing w:line="240" w:lineRule="auto"/>
        <w:ind w:left="360"/>
        <w:jc w:val="both"/>
        <w:rPr>
          <w:u w:val="single"/>
        </w:rPr>
      </w:pPr>
      <w:r w:rsidRPr="00372713">
        <w:rPr>
          <w:u w:val="single"/>
        </w:rPr>
        <w:t>Change in burden between 1990 and 2010</w:t>
      </w:r>
      <w:r w:rsidRPr="00372713">
        <w:t>: The overall burden of disease increased by about 15% between 1990 and 2010, and the relative increase did not differ much between income strata.</w:t>
      </w:r>
      <w:r w:rsidRPr="00372713">
        <w:rPr>
          <w:u w:val="single"/>
        </w:rPr>
        <w:t xml:space="preserve"> </w:t>
      </w:r>
    </w:p>
    <w:p w:rsidR="004162FF" w:rsidRPr="00372713" w:rsidRDefault="004162FF" w:rsidP="00E71B51">
      <w:pPr>
        <w:pStyle w:val="ListParagraph"/>
        <w:numPr>
          <w:ilvl w:val="0"/>
          <w:numId w:val="22"/>
        </w:numPr>
        <w:spacing w:line="240" w:lineRule="auto"/>
        <w:ind w:left="360"/>
        <w:jc w:val="both"/>
      </w:pPr>
      <w:r w:rsidRPr="00372713">
        <w:rPr>
          <w:u w:val="single"/>
        </w:rPr>
        <w:t>Impact of meeting the WHO targets for 2020</w:t>
      </w:r>
      <w:r w:rsidRPr="00372713">
        <w:t xml:space="preserve">: Although the transmission would be interrupted by 2020, this would not be reflected immediately in the detection rate of new cases with grade 2 disability due to the long incubation period. Due to the chronic nature of disability and the delayed impact on the new cases detection rate the reduction in the burden of disease between 2010 and 2020 would be relatively modest. </w:t>
      </w:r>
    </w:p>
    <w:p w:rsidR="0078108C" w:rsidRPr="00C3592E" w:rsidRDefault="0078108C" w:rsidP="00E71B51">
      <w:pPr>
        <w:spacing w:line="240" w:lineRule="auto"/>
        <w:jc w:val="both"/>
      </w:pPr>
    </w:p>
    <w:p w:rsidR="0078108C" w:rsidRPr="00C3592E" w:rsidRDefault="0078108C" w:rsidP="00E71B51">
      <w:pPr>
        <w:spacing w:line="240" w:lineRule="auto"/>
        <w:rPr>
          <w:b/>
          <w:lang w:val="en-GB"/>
        </w:rPr>
      </w:pPr>
    </w:p>
    <w:p w:rsidR="0078108C" w:rsidRPr="00C3592E" w:rsidRDefault="0078108C" w:rsidP="00E71B51">
      <w:pPr>
        <w:spacing w:line="240" w:lineRule="auto"/>
        <w:rPr>
          <w:b/>
        </w:rPr>
      </w:pPr>
      <w:r w:rsidRPr="00C3592E">
        <w:rPr>
          <w:b/>
        </w:rPr>
        <w:t>Notes:</w:t>
      </w:r>
    </w:p>
    <w:p w:rsidR="0078108C" w:rsidRPr="00C3592E" w:rsidRDefault="00E71B51" w:rsidP="00E71B51">
      <w:pPr>
        <w:pStyle w:val="ListParagraph"/>
        <w:numPr>
          <w:ilvl w:val="0"/>
          <w:numId w:val="14"/>
        </w:numPr>
        <w:spacing w:line="240" w:lineRule="auto"/>
        <w:ind w:left="360"/>
        <w:jc w:val="both"/>
        <w:rPr>
          <w:lang w:val="en-GB"/>
        </w:rPr>
      </w:pPr>
      <w:r w:rsidRPr="00C3592E">
        <w:rPr>
          <w:lang w:val="en-GB"/>
        </w:rPr>
        <w:t>Sequelae considered</w:t>
      </w:r>
      <w:r>
        <w:rPr>
          <w:lang w:val="en-GB"/>
        </w:rPr>
        <w:t xml:space="preserve"> in GBD study</w:t>
      </w:r>
      <w:r w:rsidRPr="00C3592E">
        <w:rPr>
          <w:lang w:val="en-GB"/>
        </w:rPr>
        <w:t xml:space="preserve">: </w:t>
      </w:r>
      <w:r w:rsidR="0078108C" w:rsidRPr="00C3592E">
        <w:rPr>
          <w:lang w:val="en-GB"/>
        </w:rPr>
        <w:t>grade 2 disability due to leprosy</w:t>
      </w:r>
    </w:p>
    <w:p w:rsidR="0078108C" w:rsidRPr="00C3592E" w:rsidRDefault="0078108C" w:rsidP="00E71B51">
      <w:pPr>
        <w:pStyle w:val="ListParagraph"/>
        <w:numPr>
          <w:ilvl w:val="0"/>
          <w:numId w:val="14"/>
        </w:numPr>
        <w:spacing w:line="240" w:lineRule="auto"/>
        <w:ind w:left="360"/>
        <w:jc w:val="both"/>
        <w:rPr>
          <w:lang w:val="en-GB"/>
        </w:rPr>
      </w:pPr>
      <w:r w:rsidRPr="00C3592E">
        <w:rPr>
          <w:lang w:val="en-GB"/>
        </w:rPr>
        <w:t xml:space="preserve">The GBD 2010 estimates for leprosy appeared to be mistakenly based on overall leprosy new case detection (incident cases) instead of prevalence of (irreversible) cases with leprosy grade 2 disability, on which the disability weights are based. We therefore performed a recalculation to arrive at grade 2 disability </w:t>
      </w:r>
      <w:proofErr w:type="spellStart"/>
      <w:r w:rsidRPr="00C3592E">
        <w:rPr>
          <w:lang w:val="en-GB"/>
        </w:rPr>
        <w:t>prevalences</w:t>
      </w:r>
      <w:proofErr w:type="spellEnd"/>
      <w:r w:rsidRPr="00C3592E">
        <w:rPr>
          <w:lang w:val="en-GB"/>
        </w:rPr>
        <w:t xml:space="preserve"> as follows as explained </w:t>
      </w:r>
      <w:r w:rsidR="005F4629">
        <w:rPr>
          <w:lang w:val="en-GB"/>
        </w:rPr>
        <w:t xml:space="preserve">in the main paper of this series by </w:t>
      </w:r>
      <w:r w:rsidR="005F4629" w:rsidRPr="0007678D">
        <w:rPr>
          <w:rFonts w:cs="Arial"/>
          <w:noProof/>
          <w:szCs w:val="22"/>
        </w:rPr>
        <w:t xml:space="preserve">De Vlas </w:t>
      </w:r>
      <w:r w:rsidR="005F4629">
        <w:rPr>
          <w:rFonts w:cs="Arial"/>
          <w:noProof/>
          <w:szCs w:val="22"/>
        </w:rPr>
        <w:t xml:space="preserve">et al: De Vlas </w:t>
      </w:r>
      <w:r w:rsidR="005F4629" w:rsidRPr="0007678D">
        <w:rPr>
          <w:rFonts w:cs="Arial"/>
          <w:noProof/>
          <w:szCs w:val="22"/>
        </w:rPr>
        <w:t>SJ, Stolk WA, Le Rutte EA, Hontelez JAC, Bakker R, Blok DJ, et al. Concerted efforts to control or eliminate neglected tropical diseases: how much health will be gained? PLoS negl Trop Dis (submitted, paper 1 of this collection)</w:t>
      </w:r>
      <w:r w:rsidR="005F4629">
        <w:rPr>
          <w:rFonts w:cs="Arial"/>
          <w:noProof/>
          <w:szCs w:val="22"/>
        </w:rPr>
        <w:t>)</w:t>
      </w:r>
      <w:r w:rsidR="005F4629" w:rsidRPr="0007678D">
        <w:rPr>
          <w:rFonts w:cs="Arial"/>
          <w:noProof/>
          <w:szCs w:val="22"/>
        </w:rPr>
        <w:t>.</w:t>
      </w:r>
      <w:r w:rsidRPr="00C3592E">
        <w:rPr>
          <w:lang w:val="en-GB"/>
        </w:rPr>
        <w:t>.</w:t>
      </w:r>
    </w:p>
    <w:p w:rsidR="0078108C" w:rsidRPr="00C3592E" w:rsidRDefault="0078108C" w:rsidP="00E71B51">
      <w:pPr>
        <w:pStyle w:val="ListParagraph"/>
        <w:spacing w:line="240" w:lineRule="auto"/>
        <w:ind w:left="360"/>
        <w:jc w:val="both"/>
        <w:rPr>
          <w:lang w:val="en-GB"/>
        </w:rPr>
      </w:pPr>
    </w:p>
    <w:p w:rsidR="0078108C" w:rsidRPr="00C3592E" w:rsidRDefault="0078108C" w:rsidP="008C12E7">
      <w:pPr>
        <w:pStyle w:val="ListParagraph"/>
        <w:spacing w:line="240" w:lineRule="auto"/>
        <w:ind w:left="360"/>
        <w:jc w:val="both"/>
        <w:rPr>
          <w:lang w:val="en-GB"/>
        </w:rPr>
      </w:pPr>
    </w:p>
    <w:p w:rsidR="0078108C" w:rsidRPr="00C3592E" w:rsidRDefault="0078108C" w:rsidP="00E71B51">
      <w:pPr>
        <w:spacing w:line="240" w:lineRule="auto"/>
        <w:rPr>
          <w:lang w:val="en-GB"/>
        </w:rPr>
      </w:pPr>
    </w:p>
    <w:p w:rsidR="0078108C" w:rsidRPr="00C3592E" w:rsidRDefault="0078108C" w:rsidP="00E71B51">
      <w:pPr>
        <w:spacing w:line="240" w:lineRule="auto"/>
        <w:rPr>
          <w:lang w:val="en-GB"/>
        </w:rPr>
      </w:pPr>
    </w:p>
    <w:p w:rsidR="0078108C" w:rsidRPr="00C3592E" w:rsidRDefault="0078108C" w:rsidP="00E71B51">
      <w:pPr>
        <w:spacing w:line="240" w:lineRule="auto"/>
        <w:rPr>
          <w:lang w:val="en-GB"/>
        </w:rPr>
      </w:pPr>
      <w:r w:rsidRPr="00C3592E">
        <w:rPr>
          <w:lang w:val="en-GB"/>
        </w:rPr>
        <w:br w:type="page"/>
      </w:r>
    </w:p>
    <w:p w:rsidR="00AA0C91" w:rsidRPr="00C3592E" w:rsidRDefault="00AA0C91" w:rsidP="00E71B51">
      <w:pPr>
        <w:spacing w:line="240" w:lineRule="auto"/>
        <w:jc w:val="center"/>
        <w:rPr>
          <w:b/>
          <w:sz w:val="28"/>
        </w:rPr>
      </w:pPr>
      <w:r w:rsidRPr="00C3592E">
        <w:rPr>
          <w:b/>
          <w:sz w:val="28"/>
        </w:rPr>
        <w:lastRenderedPageBreak/>
        <w:t>V</w:t>
      </w:r>
      <w:r w:rsidR="00BF6201" w:rsidRPr="00C3592E">
        <w:rPr>
          <w:b/>
          <w:sz w:val="28"/>
        </w:rPr>
        <w:t>isceral leishmaniasis</w:t>
      </w:r>
    </w:p>
    <w:p w:rsidR="00AA0C91" w:rsidRPr="00C3592E" w:rsidRDefault="00AA0C91" w:rsidP="00E71B51">
      <w:pPr>
        <w:spacing w:line="240" w:lineRule="auto"/>
        <w:rPr>
          <w:lang w:val="en-GB"/>
        </w:rPr>
      </w:pPr>
    </w:p>
    <w:p w:rsidR="00C3592E" w:rsidRPr="00C3592E" w:rsidRDefault="00C3592E" w:rsidP="00E71B51">
      <w:pPr>
        <w:spacing w:line="240" w:lineRule="auto"/>
        <w:rPr>
          <w:lang w:val="en-GB"/>
        </w:rPr>
      </w:pPr>
    </w:p>
    <w:p w:rsidR="00C3592E" w:rsidRPr="00C3592E" w:rsidRDefault="00C3592E" w:rsidP="00E71B51">
      <w:pPr>
        <w:spacing w:line="240" w:lineRule="auto"/>
        <w:rPr>
          <w:lang w:val="en-GB"/>
        </w:rPr>
      </w:pPr>
    </w:p>
    <w:p w:rsidR="00E71B51" w:rsidRPr="00C3592E" w:rsidRDefault="00E71B51" w:rsidP="00E71B51">
      <w:pPr>
        <w:spacing w:line="240" w:lineRule="auto"/>
        <w:rPr>
          <w:b/>
          <w:lang w:val="en-GB"/>
        </w:rPr>
      </w:pPr>
      <w:r>
        <w:rPr>
          <w:b/>
          <w:lang w:val="en-GB"/>
        </w:rPr>
        <w:t>Distribution of burden over country income groups</w:t>
      </w:r>
      <w:r w:rsidRPr="00C3592E">
        <w:rPr>
          <w:b/>
          <w:lang w:val="en-GB"/>
        </w:rPr>
        <w:t>, highlighting the countries contributing most to the 2010 disease burden:</w:t>
      </w:r>
    </w:p>
    <w:p w:rsidR="00AA0C91" w:rsidRPr="00C3592E" w:rsidRDefault="00AA0C91" w:rsidP="00E71B51">
      <w:pPr>
        <w:spacing w:line="240" w:lineRule="auto"/>
        <w:rPr>
          <w:lang w:val="en-GB"/>
        </w:rPr>
      </w:pPr>
    </w:p>
    <w:p w:rsidR="00AA0C91" w:rsidRPr="00C3592E" w:rsidRDefault="00837316" w:rsidP="00E71B51">
      <w:pPr>
        <w:spacing w:line="240" w:lineRule="auto"/>
        <w:rPr>
          <w:lang w:val="en-GB"/>
        </w:rPr>
      </w:pPr>
      <w:r w:rsidRPr="00837316">
        <w:rPr>
          <w:noProof/>
        </w:rPr>
        <w:drawing>
          <wp:inline distT="0" distB="0" distL="0" distR="0" wp14:anchorId="62B1BDDB" wp14:editId="57CD530C">
            <wp:extent cx="5731510" cy="2507536"/>
            <wp:effectExtent l="0" t="0" r="254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1510" cy="2507536"/>
                    </a:xfrm>
                    <a:prstGeom prst="rect">
                      <a:avLst/>
                    </a:prstGeom>
                    <a:noFill/>
                    <a:ln>
                      <a:noFill/>
                    </a:ln>
                  </pic:spPr>
                </pic:pic>
              </a:graphicData>
            </a:graphic>
          </wp:inline>
        </w:drawing>
      </w:r>
    </w:p>
    <w:p w:rsidR="00BA5743" w:rsidRDefault="00BA5743" w:rsidP="00E71B51">
      <w:pPr>
        <w:spacing w:line="240" w:lineRule="auto"/>
        <w:rPr>
          <w:lang w:val="en-GB"/>
        </w:rPr>
      </w:pPr>
    </w:p>
    <w:p w:rsidR="00E71B51" w:rsidRPr="004162FF" w:rsidRDefault="00E71B51" w:rsidP="00E71B51">
      <w:pPr>
        <w:spacing w:line="240" w:lineRule="auto"/>
        <w:jc w:val="both"/>
        <w:rPr>
          <w:b/>
          <w:lang w:val="en-GB"/>
        </w:rPr>
      </w:pPr>
      <w:r w:rsidRPr="004162FF">
        <w:rPr>
          <w:b/>
          <w:lang w:val="en-GB"/>
        </w:rPr>
        <w:t>Findings:</w:t>
      </w:r>
    </w:p>
    <w:p w:rsidR="004162FF" w:rsidRPr="00372713" w:rsidRDefault="004162FF" w:rsidP="00E71B51">
      <w:pPr>
        <w:pStyle w:val="ListParagraph"/>
        <w:numPr>
          <w:ilvl w:val="0"/>
          <w:numId w:val="22"/>
        </w:numPr>
        <w:spacing w:line="240" w:lineRule="auto"/>
        <w:ind w:left="360"/>
        <w:jc w:val="both"/>
        <w:rPr>
          <w:u w:val="single"/>
        </w:rPr>
      </w:pPr>
      <w:r w:rsidRPr="00372713">
        <w:rPr>
          <w:u w:val="single"/>
        </w:rPr>
        <w:t>Distribution of disease in 1990</w:t>
      </w:r>
      <w:r w:rsidRPr="00372713">
        <w:t xml:space="preserve">: visceral leishmaniasis was highly endemic in the Indian subcontinent and in East Africa, but also </w:t>
      </w:r>
      <w:proofErr w:type="spellStart"/>
      <w:r w:rsidRPr="00372713">
        <w:t>occured</w:t>
      </w:r>
      <w:proofErr w:type="spellEnd"/>
      <w:r w:rsidRPr="00372713">
        <w:t xml:space="preserve"> in other regions. The lower-middle income group accounted for 79% of the burden; low, upper-middle and high income countries respectively accounted for 11%, 9% and 0.1% of the global burden. India (lower middle income) accounted for 66% of the global burden. Other important contributing countries were China (7%), Sudan (5%), Bangladesh (4%), Egypt (4%) and Ethiopia (2%).</w:t>
      </w:r>
    </w:p>
    <w:p w:rsidR="004162FF" w:rsidRPr="00372713" w:rsidRDefault="004162FF" w:rsidP="00E71B51">
      <w:pPr>
        <w:pStyle w:val="ListParagraph"/>
        <w:numPr>
          <w:ilvl w:val="0"/>
          <w:numId w:val="22"/>
        </w:numPr>
        <w:spacing w:line="240" w:lineRule="auto"/>
        <w:ind w:left="360"/>
        <w:jc w:val="both"/>
        <w:rPr>
          <w:u w:val="single"/>
        </w:rPr>
      </w:pPr>
      <w:r w:rsidRPr="00372713">
        <w:rPr>
          <w:u w:val="single"/>
        </w:rPr>
        <w:t>Change in burden between 1990 and 2010</w:t>
      </w:r>
      <w:r w:rsidRPr="00372713">
        <w:t>: Between 1990 and 2010, the global burden declined by 45%. The relative reduction however was smallest in low income groups (15% reduction), was equal to the global level in the lower-middle income group (46% reduction), and highest in the upper-middle income group (67% reduction). India (59%), Sudan (7%), Bangladesh (4%), Egypt (4%), Ethiopia (3%), China (3%) were still the main contributors, although China was no longer the 2nd contributor.</w:t>
      </w:r>
    </w:p>
    <w:p w:rsidR="004162FF" w:rsidRPr="00372713" w:rsidRDefault="004162FF" w:rsidP="00E71B51">
      <w:pPr>
        <w:pStyle w:val="ListParagraph"/>
        <w:numPr>
          <w:ilvl w:val="0"/>
          <w:numId w:val="22"/>
        </w:numPr>
        <w:spacing w:line="240" w:lineRule="auto"/>
        <w:ind w:left="360"/>
        <w:jc w:val="both"/>
        <w:rPr>
          <w:u w:val="single"/>
        </w:rPr>
      </w:pPr>
      <w:r w:rsidRPr="00372713">
        <w:rPr>
          <w:u w:val="single"/>
        </w:rPr>
        <w:t>Impact of meeting the WHO targets</w:t>
      </w:r>
      <w:r w:rsidRPr="00372713">
        <w:t>: A dramatic decline in the burden would be expected if the WHO targets were met: the burden in India would be as good as eliminated, and that in other countries considerably reduced because all new cases would be treated. Since treatment is not 100% effective, this would not eliminate the total burden. We assume that in Africa still 5% of the people with visceral leishmaniasis (even though detected and treated) would die in 2020; this percentage would be less than 1% of the people with visceral leishmaniasis on the Indian subcontinent, and 2% elsewhere.</w:t>
      </w:r>
    </w:p>
    <w:p w:rsidR="00BA5743" w:rsidRPr="004162FF" w:rsidRDefault="00BA5743" w:rsidP="00E71B51">
      <w:pPr>
        <w:spacing w:line="240" w:lineRule="auto"/>
      </w:pPr>
    </w:p>
    <w:p w:rsidR="00BA5743" w:rsidRPr="00C3592E" w:rsidRDefault="00BA5743" w:rsidP="00E71B51">
      <w:pPr>
        <w:spacing w:line="240" w:lineRule="auto"/>
        <w:rPr>
          <w:lang w:val="en-GB"/>
        </w:rPr>
      </w:pPr>
    </w:p>
    <w:p w:rsidR="00BA5743" w:rsidRPr="00C3592E" w:rsidRDefault="00BA5743" w:rsidP="00E71B51">
      <w:pPr>
        <w:spacing w:line="240" w:lineRule="auto"/>
        <w:rPr>
          <w:b/>
          <w:lang w:val="en-GB"/>
        </w:rPr>
      </w:pPr>
      <w:r w:rsidRPr="00C3592E">
        <w:rPr>
          <w:b/>
          <w:lang w:val="en-GB"/>
        </w:rPr>
        <w:t>Notes:</w:t>
      </w:r>
    </w:p>
    <w:p w:rsidR="00BA5743" w:rsidRPr="00C3592E" w:rsidRDefault="00E71B51" w:rsidP="00E71B51">
      <w:pPr>
        <w:pStyle w:val="ListParagraph"/>
        <w:numPr>
          <w:ilvl w:val="0"/>
          <w:numId w:val="14"/>
        </w:numPr>
        <w:spacing w:line="240" w:lineRule="auto"/>
        <w:ind w:left="360"/>
        <w:jc w:val="both"/>
        <w:rPr>
          <w:lang w:val="en-GB"/>
        </w:rPr>
      </w:pPr>
      <w:r w:rsidRPr="00C3592E">
        <w:rPr>
          <w:lang w:val="en-GB"/>
        </w:rPr>
        <w:t>Sequelae considered</w:t>
      </w:r>
      <w:r>
        <w:rPr>
          <w:lang w:val="en-GB"/>
        </w:rPr>
        <w:t xml:space="preserve"> in GBD study</w:t>
      </w:r>
      <w:r w:rsidRPr="00C3592E">
        <w:rPr>
          <w:lang w:val="en-GB"/>
        </w:rPr>
        <w:t xml:space="preserve">: </w:t>
      </w:r>
      <w:r w:rsidR="00964C67" w:rsidRPr="00C3592E">
        <w:rPr>
          <w:lang w:val="en-GB"/>
        </w:rPr>
        <w:t>visceral leishmaniasis, leading to death if left untreated and in some percentage of treated patients.</w:t>
      </w:r>
    </w:p>
    <w:p w:rsidR="00BA5743" w:rsidRPr="00C3592E" w:rsidRDefault="00BA5743" w:rsidP="00E71B51">
      <w:pPr>
        <w:pStyle w:val="ListParagraph"/>
        <w:spacing w:line="240" w:lineRule="auto"/>
        <w:ind w:left="360"/>
        <w:jc w:val="both"/>
        <w:rPr>
          <w:lang w:val="en-GB"/>
        </w:rPr>
      </w:pPr>
    </w:p>
    <w:p w:rsidR="00F948C8" w:rsidRPr="00C3592E" w:rsidRDefault="00F948C8" w:rsidP="008C12E7">
      <w:pPr>
        <w:pStyle w:val="ListParagraph"/>
        <w:spacing w:line="240" w:lineRule="auto"/>
        <w:ind w:left="360"/>
        <w:jc w:val="both"/>
        <w:rPr>
          <w:lang w:val="en-GB"/>
        </w:rPr>
      </w:pPr>
    </w:p>
    <w:p w:rsidR="00A575BC" w:rsidRPr="00C3592E" w:rsidRDefault="00A575BC" w:rsidP="00E71B51">
      <w:pPr>
        <w:spacing w:line="240" w:lineRule="auto"/>
        <w:rPr>
          <w:lang w:val="en-GB"/>
        </w:rPr>
      </w:pPr>
    </w:p>
    <w:sectPr w:rsidR="00A575BC" w:rsidRPr="00C3592E" w:rsidSect="00C3592E">
      <w:headerReference w:type="even" r:id="rId17"/>
      <w:headerReference w:type="default" r:id="rId18"/>
      <w:footerReference w:type="even" r:id="rId19"/>
      <w:footerReference w:type="default" r:id="rId20"/>
      <w:headerReference w:type="first" r:id="rId21"/>
      <w:footerReference w:type="first" r:id="rId22"/>
      <w:pgSz w:w="11906" w:h="16838" w:code="9"/>
      <w:pgMar w:top="1440" w:right="1440" w:bottom="1440" w:left="1440" w:header="709" w:footer="471" w:gutter="0"/>
      <w:cols w:space="708"/>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82A" w:rsidRDefault="00FC182A">
      <w:r>
        <w:separator/>
      </w:r>
    </w:p>
  </w:endnote>
  <w:endnote w:type="continuationSeparator" w:id="0">
    <w:p w:rsidR="00FC182A" w:rsidRDefault="00FC1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72" w:rsidRDefault="001273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1E1" w:rsidRDefault="00E761E1">
    <w:pPr>
      <w:pStyle w:val="Footer"/>
      <w:jc w:val="center"/>
    </w:pPr>
    <w:r>
      <w:fldChar w:fldCharType="begin"/>
    </w:r>
    <w:r>
      <w:instrText xml:space="preserve"> PAGE   \* MERGEFORMAT </w:instrText>
    </w:r>
    <w:r>
      <w:fldChar w:fldCharType="separate"/>
    </w:r>
    <w:r w:rsidR="00776384">
      <w:rPr>
        <w:noProof/>
      </w:rPr>
      <w:t>1</w:t>
    </w:r>
    <w:r>
      <w:rPr>
        <w:noProof/>
      </w:rPr>
      <w:fldChar w:fldCharType="end"/>
    </w:r>
  </w:p>
  <w:p w:rsidR="00E761E1" w:rsidRDefault="00E761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1E1" w:rsidRDefault="00E761E1">
    <w:pPr>
      <w:pStyle w:val="Footer"/>
      <w:jc w:val="center"/>
    </w:pPr>
    <w:r>
      <w:fldChar w:fldCharType="begin"/>
    </w:r>
    <w:r>
      <w:instrText xml:space="preserve"> PAGE   \* MERGEFORMAT </w:instrText>
    </w:r>
    <w:r>
      <w:fldChar w:fldCharType="separate"/>
    </w:r>
    <w:r w:rsidR="00C3592E">
      <w:rPr>
        <w:noProof/>
      </w:rPr>
      <w:t>1</w:t>
    </w:r>
    <w:r>
      <w:rPr>
        <w:noProof/>
      </w:rPr>
      <w:fldChar w:fldCharType="end"/>
    </w:r>
  </w:p>
  <w:p w:rsidR="00E761E1" w:rsidRDefault="00E761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82A" w:rsidRDefault="00FC182A">
      <w:r>
        <w:separator/>
      </w:r>
    </w:p>
  </w:footnote>
  <w:footnote w:type="continuationSeparator" w:id="0">
    <w:p w:rsidR="00FC182A" w:rsidRDefault="00FC18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72" w:rsidRDefault="001273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930" w:rsidRPr="00C3592E" w:rsidRDefault="00C3592E" w:rsidP="00920930">
    <w:pPr>
      <w:spacing w:line="240" w:lineRule="auto"/>
      <w:rPr>
        <w:b/>
        <w:lang w:val="en-GB"/>
      </w:rPr>
    </w:pPr>
    <w:r w:rsidRPr="00111475">
      <w:rPr>
        <w:lang w:val="en-GB"/>
      </w:rPr>
      <w:t>S</w:t>
    </w:r>
    <w:r w:rsidR="00473359">
      <w:rPr>
        <w:lang w:val="en-GB"/>
      </w:rPr>
      <w:t>upporting Information – S</w:t>
    </w:r>
    <w:r w:rsidR="00CA2331">
      <w:rPr>
        <w:lang w:val="en-GB"/>
      </w:rPr>
      <w:t>1</w:t>
    </w:r>
    <w:r>
      <w:rPr>
        <w:lang w:val="en-GB"/>
      </w:rPr>
      <w:t xml:space="preserve"> Appendix</w:t>
    </w:r>
    <w:r w:rsidR="00920930">
      <w:rPr>
        <w:lang w:val="en-GB"/>
      </w:rPr>
      <w:t xml:space="preserve">: </w:t>
    </w:r>
    <w:r w:rsidR="00920930">
      <w:rPr>
        <w:b/>
        <w:lang w:val="en-GB"/>
      </w:rPr>
      <w:t>Distribution of NTD disease burden over country income groups</w:t>
    </w:r>
    <w:r w:rsidR="00920930" w:rsidRPr="00C3592E">
      <w:rPr>
        <w:b/>
        <w:lang w:val="en-GB"/>
      </w:rPr>
      <w:t xml:space="preserve">, highlighting the countries contributing </w:t>
    </w:r>
    <w:r w:rsidR="00920930">
      <w:rPr>
        <w:b/>
        <w:lang w:val="en-GB"/>
      </w:rPr>
      <w:t>most to the 2010 disease burden, for each NT</w:t>
    </w:r>
    <w:bookmarkStart w:id="0" w:name="_GoBack"/>
    <w:bookmarkEnd w:id="0"/>
    <w:r w:rsidR="00920930">
      <w:rPr>
        <w:b/>
        <w:lang w:val="en-GB"/>
      </w:rPr>
      <w:t>D separately</w:t>
    </w:r>
  </w:p>
  <w:p w:rsidR="00C3592E" w:rsidRPr="00111475" w:rsidRDefault="00C3592E" w:rsidP="00C3592E">
    <w:pPr>
      <w:pStyle w:val="Header"/>
      <w:rPr>
        <w:lang w:val="en-GB"/>
      </w:rPr>
    </w:pPr>
  </w:p>
  <w:p w:rsidR="00C3592E" w:rsidRDefault="00C359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475" w:rsidRPr="00111475" w:rsidRDefault="00111475">
    <w:pPr>
      <w:pStyle w:val="Header"/>
      <w:rPr>
        <w:lang w:val="en-GB"/>
      </w:rPr>
    </w:pPr>
    <w:r w:rsidRPr="00111475">
      <w:rPr>
        <w:lang w:val="en-GB"/>
      </w:rPr>
      <w:t>Supporting Information – S1</w:t>
    </w:r>
    <w:r>
      <w:rPr>
        <w:lang w:val="en-GB"/>
      </w:rPr>
      <w:t xml:space="preserve"> Appendix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B6BF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01C4CC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D3C539C"/>
    <w:lvl w:ilvl="0">
      <w:start w:val="1"/>
      <w:numFmt w:val="decimal"/>
      <w:pStyle w:val="ListNumber3"/>
      <w:lvlText w:val="%1."/>
      <w:lvlJc w:val="left"/>
      <w:pPr>
        <w:tabs>
          <w:tab w:val="num" w:pos="926"/>
        </w:tabs>
        <w:ind w:left="926" w:hanging="360"/>
      </w:pPr>
    </w:lvl>
  </w:abstractNum>
  <w:abstractNum w:abstractNumId="3">
    <w:nsid w:val="FFFFFF7F"/>
    <w:multiLevelType w:val="singleLevel"/>
    <w:tmpl w:val="9DAEB87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11ADD7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F6EAA0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B683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E7A762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1DC7E90"/>
    <w:lvl w:ilvl="0">
      <w:start w:val="1"/>
      <w:numFmt w:val="decimal"/>
      <w:pStyle w:val="ListNumber"/>
      <w:lvlText w:val="%1."/>
      <w:lvlJc w:val="left"/>
      <w:pPr>
        <w:tabs>
          <w:tab w:val="num" w:pos="360"/>
        </w:tabs>
        <w:ind w:left="360" w:hanging="360"/>
      </w:pPr>
    </w:lvl>
  </w:abstractNum>
  <w:abstractNum w:abstractNumId="9">
    <w:nsid w:val="FFFFFF89"/>
    <w:multiLevelType w:val="singleLevel"/>
    <w:tmpl w:val="D926287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13501F"/>
    <w:multiLevelType w:val="hybridMultilevel"/>
    <w:tmpl w:val="74D458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6196850"/>
    <w:multiLevelType w:val="hybridMultilevel"/>
    <w:tmpl w:val="5BD8FBD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12218C"/>
    <w:multiLevelType w:val="multilevel"/>
    <w:tmpl w:val="8338A230"/>
    <w:styleLink w:val="ArticleSection"/>
    <w:lvl w:ilvl="0">
      <w:start w:val="1"/>
      <w:numFmt w:val="upperRoman"/>
      <w:lvlText w:val="Appendix %1."/>
      <w:lvlJc w:val="left"/>
      <w:pPr>
        <w:tabs>
          <w:tab w:val="num" w:pos="1800"/>
        </w:tabs>
        <w:ind w:left="0" w:firstLine="0"/>
      </w:pPr>
      <w:rPr>
        <w:rFonts w:hint="default"/>
      </w:rPr>
    </w:lvl>
    <w:lvl w:ilvl="1">
      <w:start w:val="1"/>
      <w:numFmt w:val="decimalZero"/>
      <w:isLgl/>
      <w:lvlText w:val="Section %1.%2"/>
      <w:lvlJc w:val="left"/>
      <w:pPr>
        <w:tabs>
          <w:tab w:val="num" w:pos="1800"/>
        </w:tabs>
        <w:ind w:left="0" w:firstLine="0"/>
      </w:pPr>
      <w:rPr>
        <w:rFonts w:hint="default"/>
      </w:rPr>
    </w:lvl>
    <w:lvl w:ilvl="2">
      <w:start w:val="1"/>
      <w:numFmt w:val="upperRoman"/>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3">
    <w:nsid w:val="21795082"/>
    <w:multiLevelType w:val="hybridMultilevel"/>
    <w:tmpl w:val="BAAC09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B134A1"/>
    <w:multiLevelType w:val="hybridMultilevel"/>
    <w:tmpl w:val="479C86EE"/>
    <w:lvl w:ilvl="0" w:tplc="1CBCA660">
      <w:start w:val="903"/>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9BD2399"/>
    <w:multiLevelType w:val="hybridMultilevel"/>
    <w:tmpl w:val="19E49038"/>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2711A0"/>
    <w:multiLevelType w:val="hybridMultilevel"/>
    <w:tmpl w:val="B540D2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A792D5B"/>
    <w:multiLevelType w:val="hybridMultilevel"/>
    <w:tmpl w:val="0D68CE3C"/>
    <w:lvl w:ilvl="0" w:tplc="08090001">
      <w:start w:val="8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0573C4A"/>
    <w:multiLevelType w:val="hybridMultilevel"/>
    <w:tmpl w:val="6F9A0806"/>
    <w:lvl w:ilvl="0" w:tplc="FFFFFFFF">
      <w:start w:val="1"/>
      <w:numFmt w:val="bullet"/>
      <w:pStyle w:val="Bullett"/>
      <w:lvlText w:val=""/>
      <w:lvlJc w:val="left"/>
      <w:pPr>
        <w:tabs>
          <w:tab w:val="num" w:pos="284"/>
        </w:tabs>
        <w:ind w:left="567" w:hanging="28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6A643DDD"/>
    <w:multiLevelType w:val="hybridMultilevel"/>
    <w:tmpl w:val="6A5831D8"/>
    <w:lvl w:ilvl="0" w:tplc="7D2A518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49C5758"/>
    <w:multiLevelType w:val="multilevel"/>
    <w:tmpl w:val="0413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1">
    <w:nsid w:val="7598238D"/>
    <w:multiLevelType w:val="hybridMultilevel"/>
    <w:tmpl w:val="E30A9968"/>
    <w:lvl w:ilvl="0" w:tplc="08090001">
      <w:start w:val="1"/>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B362CF4"/>
    <w:multiLevelType w:val="hybridMultilevel"/>
    <w:tmpl w:val="F5DA7644"/>
    <w:lvl w:ilvl="0" w:tplc="5184BA48">
      <w:start w:val="3"/>
      <w:numFmt w:val="bullet"/>
      <w:lvlText w:val=""/>
      <w:lvlJc w:val="left"/>
      <w:pPr>
        <w:ind w:left="720" w:hanging="360"/>
      </w:pPr>
      <w:rPr>
        <w:rFonts w:ascii="Symbol" w:eastAsia="Times New Roman" w:hAnsi="Symbol"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2D5C0E"/>
    <w:multiLevelType w:val="hybridMultilevel"/>
    <w:tmpl w:val="D500DC86"/>
    <w:lvl w:ilvl="0" w:tplc="5F5A60A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2"/>
  </w:num>
  <w:num w:numId="13">
    <w:abstractNumId w:val="18"/>
  </w:num>
  <w:num w:numId="14">
    <w:abstractNumId w:val="21"/>
  </w:num>
  <w:num w:numId="15">
    <w:abstractNumId w:val="19"/>
  </w:num>
  <w:num w:numId="16">
    <w:abstractNumId w:val="14"/>
  </w:num>
  <w:num w:numId="17">
    <w:abstractNumId w:val="13"/>
  </w:num>
  <w:num w:numId="18">
    <w:abstractNumId w:val="11"/>
  </w:num>
  <w:num w:numId="19">
    <w:abstractNumId w:val="22"/>
  </w:num>
  <w:num w:numId="20">
    <w:abstractNumId w:val="23"/>
  </w:num>
  <w:num w:numId="21">
    <w:abstractNumId w:val="17"/>
  </w:num>
  <w:num w:numId="22">
    <w:abstractNumId w:val="15"/>
  </w:num>
  <w:num w:numId="23">
    <w:abstractNumId w:val="16"/>
  </w:num>
  <w:num w:numId="24">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9"/>
  <w:hyphenationZone w:val="425"/>
  <w:drawingGridHorizontalSpacing w:val="90"/>
  <w:drawingGridVerticalSpacing w:val="245"/>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ijeenkomst" w:val="Health Impact Assessment of the African Programme for Onchocerciasis Control "/>
    <w:docVar w:name="Datum" w:val="39801.6883647801"/>
    <w:docVar w:name="DynamicLogoEnabled" w:val="Yes"/>
    <w:docVar w:name="EN.InstantFormat" w:val="&lt;ENInstantFormat&gt;&lt;Enabled&gt;0&lt;/Enabled&gt;&lt;ScanUnformatted&gt;1&lt;/ScanUnformatted&gt;&lt;ScanChanges&gt;1&lt;/ScanChanges&gt;&lt;/ENInstantFormat&gt;"/>
    <w:docVar w:name="EN.Layout" w:val="&lt;ENLayout&gt;&lt;Style&gt;Numbered&lt;/Style&gt;&lt;LeftDelim&gt;{&lt;/LeftDelim&gt;&lt;RightDelim&gt;}&lt;/RightDelim&gt;&lt;FontName&gt;Arial&lt;/FontName&gt;&lt;FontSize&gt;9&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9rpvwrt155tdxepsvapwea1ap9twzzvv52p&quot;&gt;filariasis_desktop&lt;record-ids&gt;&lt;item&gt;2741&lt;/item&gt;&lt;item&gt;2743&lt;/item&gt;&lt;item&gt;2744&lt;/item&gt;&lt;item&gt;2746&lt;/item&gt;&lt;item&gt;2770&lt;/item&gt;&lt;item&gt;2848&lt;/item&gt;&lt;item&gt;2849&lt;/item&gt;&lt;item&gt;2850&lt;/item&gt;&lt;item&gt;2852&lt;/item&gt;&lt;item&gt;2853&lt;/item&gt;&lt;item&gt;2854&lt;/item&gt;&lt;item&gt;2856&lt;/item&gt;&lt;item&gt;2857&lt;/item&gt;&lt;/record-ids&gt;&lt;/item&gt;&lt;/Libraries&gt;"/>
    <w:docVar w:name="MD_CreationDocumentClientVersion" w:val="2.0.4.487"/>
    <w:docVar w:name="MD_CreationProjectVersion" w:val="3.1.856 Final"/>
    <w:docVar w:name="MD_CreationWindowsLanguage" w:val="2057"/>
    <w:docVar w:name="MD_CreationWindowsVersion" w:val="5.1.2600 Service Pack 2"/>
    <w:docVar w:name="MD_CreationWordLanguage" w:val="9.0"/>
    <w:docVar w:name="MD_CreationWordVersion" w:val="9.0"/>
    <w:docVar w:name="MD_DocumentLanguage" w:val="1033"/>
    <w:docVar w:name="MD_LastModifiedDocumentClientVersion" w:val="2.0.4.487"/>
    <w:docVar w:name="MD_LastModifiedProjectVersion" w:val="3.1.856 Final"/>
    <w:docVar w:name="MD_LastModifiedWindowsLanguage" w:val="2057"/>
    <w:docVar w:name="MD_LastModifiedWindowsVersion" w:val="5.1.2600 Service Pack 2"/>
    <w:docVar w:name="MD_LastModifiedWordLanguage" w:val="9.0"/>
    <w:docVar w:name="MD_LastModifiedWordVersion" w:val="9.0"/>
    <w:docVar w:name="MD_PapertypeIsPrePrint" w:val="N"/>
    <w:docVar w:name="MD_Projectname_Backup" w:val="Erasmus MC"/>
    <w:docVar w:name="MD_TemplateName_Backup" w:val="Verslag"/>
    <w:docVar w:name="ReuseAvailable" w:val="Yes"/>
    <w:docVar w:name="ReuseVersion" w:val="1"/>
  </w:docVars>
  <w:rsids>
    <w:rsidRoot w:val="001844D9"/>
    <w:rsid w:val="0000276F"/>
    <w:rsid w:val="00002D9F"/>
    <w:rsid w:val="00002E46"/>
    <w:rsid w:val="00003006"/>
    <w:rsid w:val="0000316D"/>
    <w:rsid w:val="00005596"/>
    <w:rsid w:val="00007526"/>
    <w:rsid w:val="000078A9"/>
    <w:rsid w:val="000145FD"/>
    <w:rsid w:val="00014888"/>
    <w:rsid w:val="000173E5"/>
    <w:rsid w:val="00017634"/>
    <w:rsid w:val="000217CF"/>
    <w:rsid w:val="000247DF"/>
    <w:rsid w:val="00024A53"/>
    <w:rsid w:val="00025DE3"/>
    <w:rsid w:val="00026098"/>
    <w:rsid w:val="000265D9"/>
    <w:rsid w:val="00026961"/>
    <w:rsid w:val="00026A67"/>
    <w:rsid w:val="00026F60"/>
    <w:rsid w:val="00027682"/>
    <w:rsid w:val="00027BD1"/>
    <w:rsid w:val="00027EE6"/>
    <w:rsid w:val="00033DEA"/>
    <w:rsid w:val="000340DB"/>
    <w:rsid w:val="0003483F"/>
    <w:rsid w:val="0003545D"/>
    <w:rsid w:val="00037860"/>
    <w:rsid w:val="00044651"/>
    <w:rsid w:val="00046234"/>
    <w:rsid w:val="000466F2"/>
    <w:rsid w:val="000479B7"/>
    <w:rsid w:val="0005042B"/>
    <w:rsid w:val="00050A90"/>
    <w:rsid w:val="0005290A"/>
    <w:rsid w:val="00052FE3"/>
    <w:rsid w:val="0005389D"/>
    <w:rsid w:val="00054032"/>
    <w:rsid w:val="000557E2"/>
    <w:rsid w:val="00055ABE"/>
    <w:rsid w:val="00055F67"/>
    <w:rsid w:val="0005603A"/>
    <w:rsid w:val="0005612F"/>
    <w:rsid w:val="00057833"/>
    <w:rsid w:val="000604B7"/>
    <w:rsid w:val="00062262"/>
    <w:rsid w:val="0006281B"/>
    <w:rsid w:val="0006494F"/>
    <w:rsid w:val="00064F30"/>
    <w:rsid w:val="00065E1D"/>
    <w:rsid w:val="000660D1"/>
    <w:rsid w:val="000666A1"/>
    <w:rsid w:val="0006748A"/>
    <w:rsid w:val="00071B23"/>
    <w:rsid w:val="00071DE6"/>
    <w:rsid w:val="0007235B"/>
    <w:rsid w:val="00072645"/>
    <w:rsid w:val="00073397"/>
    <w:rsid w:val="0007345F"/>
    <w:rsid w:val="00073E3D"/>
    <w:rsid w:val="00073F1E"/>
    <w:rsid w:val="00074BF1"/>
    <w:rsid w:val="00074CBE"/>
    <w:rsid w:val="00075D4A"/>
    <w:rsid w:val="0007612A"/>
    <w:rsid w:val="00076334"/>
    <w:rsid w:val="000774A6"/>
    <w:rsid w:val="00077D39"/>
    <w:rsid w:val="00080472"/>
    <w:rsid w:val="000806FC"/>
    <w:rsid w:val="00082CDB"/>
    <w:rsid w:val="0008348B"/>
    <w:rsid w:val="00083FAD"/>
    <w:rsid w:val="000841A1"/>
    <w:rsid w:val="000843B2"/>
    <w:rsid w:val="00084FE7"/>
    <w:rsid w:val="00085C61"/>
    <w:rsid w:val="000861A1"/>
    <w:rsid w:val="000916E5"/>
    <w:rsid w:val="00091F5F"/>
    <w:rsid w:val="000932C6"/>
    <w:rsid w:val="0009449A"/>
    <w:rsid w:val="00094AE6"/>
    <w:rsid w:val="00094B2F"/>
    <w:rsid w:val="00096136"/>
    <w:rsid w:val="000969E7"/>
    <w:rsid w:val="00096FCB"/>
    <w:rsid w:val="000974AD"/>
    <w:rsid w:val="000A09B5"/>
    <w:rsid w:val="000A0EED"/>
    <w:rsid w:val="000A14C8"/>
    <w:rsid w:val="000A1CE5"/>
    <w:rsid w:val="000A1F7D"/>
    <w:rsid w:val="000A2366"/>
    <w:rsid w:val="000A2CE9"/>
    <w:rsid w:val="000A350F"/>
    <w:rsid w:val="000A39CB"/>
    <w:rsid w:val="000A3B6C"/>
    <w:rsid w:val="000A406B"/>
    <w:rsid w:val="000A49B5"/>
    <w:rsid w:val="000A5721"/>
    <w:rsid w:val="000A59E2"/>
    <w:rsid w:val="000B0DC2"/>
    <w:rsid w:val="000B37ED"/>
    <w:rsid w:val="000B3E83"/>
    <w:rsid w:val="000B4066"/>
    <w:rsid w:val="000B41F2"/>
    <w:rsid w:val="000B608C"/>
    <w:rsid w:val="000B6E6B"/>
    <w:rsid w:val="000B7FA1"/>
    <w:rsid w:val="000C0B4D"/>
    <w:rsid w:val="000C128D"/>
    <w:rsid w:val="000C2A93"/>
    <w:rsid w:val="000C2B19"/>
    <w:rsid w:val="000C358C"/>
    <w:rsid w:val="000C3C43"/>
    <w:rsid w:val="000C3D40"/>
    <w:rsid w:val="000C73B9"/>
    <w:rsid w:val="000C7789"/>
    <w:rsid w:val="000D06CF"/>
    <w:rsid w:val="000D2098"/>
    <w:rsid w:val="000D2474"/>
    <w:rsid w:val="000D445C"/>
    <w:rsid w:val="000D5151"/>
    <w:rsid w:val="000D5819"/>
    <w:rsid w:val="000D68A3"/>
    <w:rsid w:val="000D6A05"/>
    <w:rsid w:val="000D6AA8"/>
    <w:rsid w:val="000D7343"/>
    <w:rsid w:val="000E09CD"/>
    <w:rsid w:val="000E0FE7"/>
    <w:rsid w:val="000E21EF"/>
    <w:rsid w:val="000E23B5"/>
    <w:rsid w:val="000E3436"/>
    <w:rsid w:val="000E7497"/>
    <w:rsid w:val="000E7949"/>
    <w:rsid w:val="000E7CB5"/>
    <w:rsid w:val="000E7D9A"/>
    <w:rsid w:val="000F04AF"/>
    <w:rsid w:val="000F0C39"/>
    <w:rsid w:val="000F2437"/>
    <w:rsid w:val="000F25C5"/>
    <w:rsid w:val="000F3203"/>
    <w:rsid w:val="000F392C"/>
    <w:rsid w:val="000F5112"/>
    <w:rsid w:val="000F5170"/>
    <w:rsid w:val="000F5976"/>
    <w:rsid w:val="000F5D21"/>
    <w:rsid w:val="00100B24"/>
    <w:rsid w:val="00100FC9"/>
    <w:rsid w:val="00101371"/>
    <w:rsid w:val="00102B72"/>
    <w:rsid w:val="00103494"/>
    <w:rsid w:val="001037FB"/>
    <w:rsid w:val="00103C92"/>
    <w:rsid w:val="0010466D"/>
    <w:rsid w:val="00104941"/>
    <w:rsid w:val="0010531D"/>
    <w:rsid w:val="00106525"/>
    <w:rsid w:val="00106927"/>
    <w:rsid w:val="00106996"/>
    <w:rsid w:val="00106A91"/>
    <w:rsid w:val="001071AB"/>
    <w:rsid w:val="0011008E"/>
    <w:rsid w:val="0011034C"/>
    <w:rsid w:val="00111475"/>
    <w:rsid w:val="001119FD"/>
    <w:rsid w:val="0011225A"/>
    <w:rsid w:val="0011317E"/>
    <w:rsid w:val="00113B42"/>
    <w:rsid w:val="001146DF"/>
    <w:rsid w:val="00115F81"/>
    <w:rsid w:val="001168E4"/>
    <w:rsid w:val="00116995"/>
    <w:rsid w:val="00117490"/>
    <w:rsid w:val="001174DE"/>
    <w:rsid w:val="00120DAB"/>
    <w:rsid w:val="00120E49"/>
    <w:rsid w:val="001224B3"/>
    <w:rsid w:val="001237F1"/>
    <w:rsid w:val="00124FBE"/>
    <w:rsid w:val="0012561A"/>
    <w:rsid w:val="00125E6E"/>
    <w:rsid w:val="00125FBF"/>
    <w:rsid w:val="00126598"/>
    <w:rsid w:val="00127372"/>
    <w:rsid w:val="00127A3A"/>
    <w:rsid w:val="00131634"/>
    <w:rsid w:val="00131708"/>
    <w:rsid w:val="00131975"/>
    <w:rsid w:val="00131F4A"/>
    <w:rsid w:val="00132314"/>
    <w:rsid w:val="0013250C"/>
    <w:rsid w:val="00133240"/>
    <w:rsid w:val="00136958"/>
    <w:rsid w:val="00137532"/>
    <w:rsid w:val="00137A4D"/>
    <w:rsid w:val="00140801"/>
    <w:rsid w:val="00140B91"/>
    <w:rsid w:val="00142921"/>
    <w:rsid w:val="001432DD"/>
    <w:rsid w:val="00144660"/>
    <w:rsid w:val="00144707"/>
    <w:rsid w:val="0014475E"/>
    <w:rsid w:val="0014541C"/>
    <w:rsid w:val="00145567"/>
    <w:rsid w:val="00145828"/>
    <w:rsid w:val="001466B4"/>
    <w:rsid w:val="0014755C"/>
    <w:rsid w:val="00150577"/>
    <w:rsid w:val="00150663"/>
    <w:rsid w:val="00150D24"/>
    <w:rsid w:val="00152991"/>
    <w:rsid w:val="001534B2"/>
    <w:rsid w:val="00153D1E"/>
    <w:rsid w:val="001544DA"/>
    <w:rsid w:val="00155FB9"/>
    <w:rsid w:val="00157512"/>
    <w:rsid w:val="00157E38"/>
    <w:rsid w:val="00161127"/>
    <w:rsid w:val="00162CD6"/>
    <w:rsid w:val="00164C65"/>
    <w:rsid w:val="00165091"/>
    <w:rsid w:val="00165D9C"/>
    <w:rsid w:val="0016625B"/>
    <w:rsid w:val="00167D98"/>
    <w:rsid w:val="00170683"/>
    <w:rsid w:val="00171272"/>
    <w:rsid w:val="001718D8"/>
    <w:rsid w:val="00171D71"/>
    <w:rsid w:val="00173048"/>
    <w:rsid w:val="00173421"/>
    <w:rsid w:val="00173DA8"/>
    <w:rsid w:val="0017446F"/>
    <w:rsid w:val="001744B3"/>
    <w:rsid w:val="00175E7B"/>
    <w:rsid w:val="00175F99"/>
    <w:rsid w:val="00180B44"/>
    <w:rsid w:val="00180DEC"/>
    <w:rsid w:val="00180ED3"/>
    <w:rsid w:val="0018172A"/>
    <w:rsid w:val="00181A56"/>
    <w:rsid w:val="00182A4E"/>
    <w:rsid w:val="0018305F"/>
    <w:rsid w:val="001830F0"/>
    <w:rsid w:val="00183526"/>
    <w:rsid w:val="00183810"/>
    <w:rsid w:val="001841CF"/>
    <w:rsid w:val="001844D9"/>
    <w:rsid w:val="00184B3F"/>
    <w:rsid w:val="00184E0B"/>
    <w:rsid w:val="00186FA6"/>
    <w:rsid w:val="00186FB2"/>
    <w:rsid w:val="001872E9"/>
    <w:rsid w:val="00187954"/>
    <w:rsid w:val="0019164A"/>
    <w:rsid w:val="00193073"/>
    <w:rsid w:val="00194628"/>
    <w:rsid w:val="00195355"/>
    <w:rsid w:val="00197332"/>
    <w:rsid w:val="00197F60"/>
    <w:rsid w:val="001A10AD"/>
    <w:rsid w:val="001A1B88"/>
    <w:rsid w:val="001A271A"/>
    <w:rsid w:val="001A6FC9"/>
    <w:rsid w:val="001A71F8"/>
    <w:rsid w:val="001B430E"/>
    <w:rsid w:val="001B43B5"/>
    <w:rsid w:val="001B52CC"/>
    <w:rsid w:val="001B542A"/>
    <w:rsid w:val="001B7801"/>
    <w:rsid w:val="001B7A13"/>
    <w:rsid w:val="001C1365"/>
    <w:rsid w:val="001C1DCF"/>
    <w:rsid w:val="001C28E0"/>
    <w:rsid w:val="001C380C"/>
    <w:rsid w:val="001C3C5F"/>
    <w:rsid w:val="001C6B3A"/>
    <w:rsid w:val="001C7D42"/>
    <w:rsid w:val="001C7F2B"/>
    <w:rsid w:val="001C7FE9"/>
    <w:rsid w:val="001D0C32"/>
    <w:rsid w:val="001D10A5"/>
    <w:rsid w:val="001D1842"/>
    <w:rsid w:val="001D59A9"/>
    <w:rsid w:val="001D5B8E"/>
    <w:rsid w:val="001D5FE3"/>
    <w:rsid w:val="001D62A8"/>
    <w:rsid w:val="001D6386"/>
    <w:rsid w:val="001D69CE"/>
    <w:rsid w:val="001D73AA"/>
    <w:rsid w:val="001D7EA9"/>
    <w:rsid w:val="001E25D5"/>
    <w:rsid w:val="001E33D0"/>
    <w:rsid w:val="001E3AB7"/>
    <w:rsid w:val="001E3B09"/>
    <w:rsid w:val="001E4ABB"/>
    <w:rsid w:val="001E4F51"/>
    <w:rsid w:val="001E5071"/>
    <w:rsid w:val="001E6131"/>
    <w:rsid w:val="001E66A0"/>
    <w:rsid w:val="001E73C6"/>
    <w:rsid w:val="001F11E6"/>
    <w:rsid w:val="001F1D8A"/>
    <w:rsid w:val="001F3D20"/>
    <w:rsid w:val="001F5196"/>
    <w:rsid w:val="001F664D"/>
    <w:rsid w:val="001F6C11"/>
    <w:rsid w:val="00201109"/>
    <w:rsid w:val="00201C6F"/>
    <w:rsid w:val="0020301D"/>
    <w:rsid w:val="00204188"/>
    <w:rsid w:val="00210903"/>
    <w:rsid w:val="00211917"/>
    <w:rsid w:val="002119A9"/>
    <w:rsid w:val="00211DB5"/>
    <w:rsid w:val="00212507"/>
    <w:rsid w:val="00212646"/>
    <w:rsid w:val="0021397A"/>
    <w:rsid w:val="0021420D"/>
    <w:rsid w:val="00215D0D"/>
    <w:rsid w:val="00216587"/>
    <w:rsid w:val="00216C1A"/>
    <w:rsid w:val="00216F67"/>
    <w:rsid w:val="002170C1"/>
    <w:rsid w:val="0021722D"/>
    <w:rsid w:val="002172D8"/>
    <w:rsid w:val="00217705"/>
    <w:rsid w:val="00217E44"/>
    <w:rsid w:val="00221703"/>
    <w:rsid w:val="0022295E"/>
    <w:rsid w:val="002247EB"/>
    <w:rsid w:val="00224A0A"/>
    <w:rsid w:val="0022626A"/>
    <w:rsid w:val="00226806"/>
    <w:rsid w:val="00227164"/>
    <w:rsid w:val="00227BD2"/>
    <w:rsid w:val="00230C14"/>
    <w:rsid w:val="00230C89"/>
    <w:rsid w:val="002311FE"/>
    <w:rsid w:val="002314BF"/>
    <w:rsid w:val="0023502C"/>
    <w:rsid w:val="00235053"/>
    <w:rsid w:val="00235C0C"/>
    <w:rsid w:val="00235FB3"/>
    <w:rsid w:val="00236221"/>
    <w:rsid w:val="00236413"/>
    <w:rsid w:val="002366D6"/>
    <w:rsid w:val="00236979"/>
    <w:rsid w:val="002371EE"/>
    <w:rsid w:val="00241C95"/>
    <w:rsid w:val="00241F42"/>
    <w:rsid w:val="0024271A"/>
    <w:rsid w:val="0024410A"/>
    <w:rsid w:val="00244C11"/>
    <w:rsid w:val="00245016"/>
    <w:rsid w:val="00246D06"/>
    <w:rsid w:val="0025080E"/>
    <w:rsid w:val="002525E4"/>
    <w:rsid w:val="00253826"/>
    <w:rsid w:val="00253A98"/>
    <w:rsid w:val="0025570A"/>
    <w:rsid w:val="00255CB6"/>
    <w:rsid w:val="00257694"/>
    <w:rsid w:val="00257745"/>
    <w:rsid w:val="00261893"/>
    <w:rsid w:val="002638E6"/>
    <w:rsid w:val="0026451E"/>
    <w:rsid w:val="00266776"/>
    <w:rsid w:val="00266807"/>
    <w:rsid w:val="00266E54"/>
    <w:rsid w:val="00272378"/>
    <w:rsid w:val="00273BD6"/>
    <w:rsid w:val="00274210"/>
    <w:rsid w:val="00275B30"/>
    <w:rsid w:val="00275EAE"/>
    <w:rsid w:val="002814DF"/>
    <w:rsid w:val="0028191C"/>
    <w:rsid w:val="002819B2"/>
    <w:rsid w:val="00283931"/>
    <w:rsid w:val="00284B66"/>
    <w:rsid w:val="0028506A"/>
    <w:rsid w:val="00285802"/>
    <w:rsid w:val="002858CF"/>
    <w:rsid w:val="00285A58"/>
    <w:rsid w:val="00287984"/>
    <w:rsid w:val="002879B5"/>
    <w:rsid w:val="00287A1B"/>
    <w:rsid w:val="00290F64"/>
    <w:rsid w:val="00291CEB"/>
    <w:rsid w:val="002931F0"/>
    <w:rsid w:val="0029537B"/>
    <w:rsid w:val="00295A4B"/>
    <w:rsid w:val="00295B12"/>
    <w:rsid w:val="00296120"/>
    <w:rsid w:val="00297B79"/>
    <w:rsid w:val="002A04FE"/>
    <w:rsid w:val="002A08B7"/>
    <w:rsid w:val="002A09E1"/>
    <w:rsid w:val="002A257E"/>
    <w:rsid w:val="002A398D"/>
    <w:rsid w:val="002A57A1"/>
    <w:rsid w:val="002A5E90"/>
    <w:rsid w:val="002A70D5"/>
    <w:rsid w:val="002B0EB3"/>
    <w:rsid w:val="002B0EBA"/>
    <w:rsid w:val="002B1279"/>
    <w:rsid w:val="002B1F85"/>
    <w:rsid w:val="002B26EF"/>
    <w:rsid w:val="002B3833"/>
    <w:rsid w:val="002B434E"/>
    <w:rsid w:val="002B4A42"/>
    <w:rsid w:val="002B4D5C"/>
    <w:rsid w:val="002C0080"/>
    <w:rsid w:val="002C0601"/>
    <w:rsid w:val="002C105D"/>
    <w:rsid w:val="002C17D1"/>
    <w:rsid w:val="002C24F1"/>
    <w:rsid w:val="002C2A77"/>
    <w:rsid w:val="002C2FF6"/>
    <w:rsid w:val="002C3C05"/>
    <w:rsid w:val="002C5A1B"/>
    <w:rsid w:val="002C65FC"/>
    <w:rsid w:val="002D0D5D"/>
    <w:rsid w:val="002D21BF"/>
    <w:rsid w:val="002D62B1"/>
    <w:rsid w:val="002D6620"/>
    <w:rsid w:val="002D6CBC"/>
    <w:rsid w:val="002D71AE"/>
    <w:rsid w:val="002D7E3B"/>
    <w:rsid w:val="002E08FC"/>
    <w:rsid w:val="002E17F9"/>
    <w:rsid w:val="002E1933"/>
    <w:rsid w:val="002E198F"/>
    <w:rsid w:val="002E373D"/>
    <w:rsid w:val="002E39FA"/>
    <w:rsid w:val="002E4367"/>
    <w:rsid w:val="002E453F"/>
    <w:rsid w:val="002E4D2F"/>
    <w:rsid w:val="002E580B"/>
    <w:rsid w:val="002E5E2F"/>
    <w:rsid w:val="002E6105"/>
    <w:rsid w:val="002E626A"/>
    <w:rsid w:val="002E6CD6"/>
    <w:rsid w:val="002E714B"/>
    <w:rsid w:val="002F13A7"/>
    <w:rsid w:val="002F22E7"/>
    <w:rsid w:val="002F2B97"/>
    <w:rsid w:val="002F39BC"/>
    <w:rsid w:val="002F429B"/>
    <w:rsid w:val="002F430F"/>
    <w:rsid w:val="002F4DD8"/>
    <w:rsid w:val="002F58DE"/>
    <w:rsid w:val="002F6188"/>
    <w:rsid w:val="002F7E70"/>
    <w:rsid w:val="00303316"/>
    <w:rsid w:val="00303C53"/>
    <w:rsid w:val="00304353"/>
    <w:rsid w:val="003043F4"/>
    <w:rsid w:val="003047E6"/>
    <w:rsid w:val="00304E41"/>
    <w:rsid w:val="003050A4"/>
    <w:rsid w:val="00305BFC"/>
    <w:rsid w:val="003063A9"/>
    <w:rsid w:val="00307056"/>
    <w:rsid w:val="00310826"/>
    <w:rsid w:val="00310956"/>
    <w:rsid w:val="00310F74"/>
    <w:rsid w:val="00311C2E"/>
    <w:rsid w:val="00311DB9"/>
    <w:rsid w:val="0031504D"/>
    <w:rsid w:val="003151C8"/>
    <w:rsid w:val="00315CCB"/>
    <w:rsid w:val="003161F2"/>
    <w:rsid w:val="00316599"/>
    <w:rsid w:val="00317D83"/>
    <w:rsid w:val="0032119F"/>
    <w:rsid w:val="00321505"/>
    <w:rsid w:val="00321E89"/>
    <w:rsid w:val="00321FA9"/>
    <w:rsid w:val="003226B3"/>
    <w:rsid w:val="00324908"/>
    <w:rsid w:val="00324DBE"/>
    <w:rsid w:val="00324FF8"/>
    <w:rsid w:val="003251E5"/>
    <w:rsid w:val="003257AF"/>
    <w:rsid w:val="00326ED2"/>
    <w:rsid w:val="0032759C"/>
    <w:rsid w:val="00327DF7"/>
    <w:rsid w:val="00327F5A"/>
    <w:rsid w:val="00331A47"/>
    <w:rsid w:val="00331DE6"/>
    <w:rsid w:val="00332689"/>
    <w:rsid w:val="00332A68"/>
    <w:rsid w:val="00333CE6"/>
    <w:rsid w:val="00335DA4"/>
    <w:rsid w:val="00335EA3"/>
    <w:rsid w:val="00337751"/>
    <w:rsid w:val="00337967"/>
    <w:rsid w:val="00340B91"/>
    <w:rsid w:val="00340DE0"/>
    <w:rsid w:val="00342B6F"/>
    <w:rsid w:val="00344889"/>
    <w:rsid w:val="00344EA7"/>
    <w:rsid w:val="00345F28"/>
    <w:rsid w:val="00347149"/>
    <w:rsid w:val="003505E6"/>
    <w:rsid w:val="00350668"/>
    <w:rsid w:val="003506C9"/>
    <w:rsid w:val="0035274E"/>
    <w:rsid w:val="00353B69"/>
    <w:rsid w:val="0035421A"/>
    <w:rsid w:val="00355569"/>
    <w:rsid w:val="003560A3"/>
    <w:rsid w:val="00356C3D"/>
    <w:rsid w:val="00360626"/>
    <w:rsid w:val="003616DF"/>
    <w:rsid w:val="00362389"/>
    <w:rsid w:val="00362C49"/>
    <w:rsid w:val="00362F4E"/>
    <w:rsid w:val="00364459"/>
    <w:rsid w:val="003650DE"/>
    <w:rsid w:val="00365DEE"/>
    <w:rsid w:val="0036716F"/>
    <w:rsid w:val="00370996"/>
    <w:rsid w:val="003723DE"/>
    <w:rsid w:val="003731CB"/>
    <w:rsid w:val="00373A02"/>
    <w:rsid w:val="00377014"/>
    <w:rsid w:val="0037724E"/>
    <w:rsid w:val="003777BD"/>
    <w:rsid w:val="00377E85"/>
    <w:rsid w:val="00380019"/>
    <w:rsid w:val="00380EDD"/>
    <w:rsid w:val="00381E52"/>
    <w:rsid w:val="00382290"/>
    <w:rsid w:val="00386711"/>
    <w:rsid w:val="00387000"/>
    <w:rsid w:val="00390154"/>
    <w:rsid w:val="0039026F"/>
    <w:rsid w:val="00390417"/>
    <w:rsid w:val="0039083B"/>
    <w:rsid w:val="0039164E"/>
    <w:rsid w:val="00391EAD"/>
    <w:rsid w:val="00392D7B"/>
    <w:rsid w:val="00393184"/>
    <w:rsid w:val="0039399A"/>
    <w:rsid w:val="0039453F"/>
    <w:rsid w:val="00394638"/>
    <w:rsid w:val="00395B4E"/>
    <w:rsid w:val="00395FE5"/>
    <w:rsid w:val="00397E9C"/>
    <w:rsid w:val="003A01DA"/>
    <w:rsid w:val="003A027B"/>
    <w:rsid w:val="003A0B25"/>
    <w:rsid w:val="003A1406"/>
    <w:rsid w:val="003A2711"/>
    <w:rsid w:val="003A3D61"/>
    <w:rsid w:val="003A4443"/>
    <w:rsid w:val="003A502D"/>
    <w:rsid w:val="003A5313"/>
    <w:rsid w:val="003A568E"/>
    <w:rsid w:val="003A5746"/>
    <w:rsid w:val="003A60F7"/>
    <w:rsid w:val="003A6866"/>
    <w:rsid w:val="003A72D3"/>
    <w:rsid w:val="003A7CC0"/>
    <w:rsid w:val="003B0269"/>
    <w:rsid w:val="003B047E"/>
    <w:rsid w:val="003B0874"/>
    <w:rsid w:val="003B0C4D"/>
    <w:rsid w:val="003B0F88"/>
    <w:rsid w:val="003B23AE"/>
    <w:rsid w:val="003B3264"/>
    <w:rsid w:val="003B3A1B"/>
    <w:rsid w:val="003B4EF6"/>
    <w:rsid w:val="003B6270"/>
    <w:rsid w:val="003B6365"/>
    <w:rsid w:val="003B6580"/>
    <w:rsid w:val="003B7174"/>
    <w:rsid w:val="003B786D"/>
    <w:rsid w:val="003B79E7"/>
    <w:rsid w:val="003C3316"/>
    <w:rsid w:val="003C3426"/>
    <w:rsid w:val="003C4653"/>
    <w:rsid w:val="003C4FEC"/>
    <w:rsid w:val="003C4FFE"/>
    <w:rsid w:val="003C5071"/>
    <w:rsid w:val="003C5776"/>
    <w:rsid w:val="003C58FE"/>
    <w:rsid w:val="003C5F86"/>
    <w:rsid w:val="003C67E8"/>
    <w:rsid w:val="003C7841"/>
    <w:rsid w:val="003D1196"/>
    <w:rsid w:val="003D26E1"/>
    <w:rsid w:val="003D3E68"/>
    <w:rsid w:val="003D4792"/>
    <w:rsid w:val="003D5051"/>
    <w:rsid w:val="003D6F85"/>
    <w:rsid w:val="003D71CA"/>
    <w:rsid w:val="003E3857"/>
    <w:rsid w:val="003E7184"/>
    <w:rsid w:val="003E76ED"/>
    <w:rsid w:val="003E7B54"/>
    <w:rsid w:val="003F10AD"/>
    <w:rsid w:val="003F3200"/>
    <w:rsid w:val="003F3F99"/>
    <w:rsid w:val="003F4B5C"/>
    <w:rsid w:val="003F6814"/>
    <w:rsid w:val="003F6926"/>
    <w:rsid w:val="003F752B"/>
    <w:rsid w:val="003F7D44"/>
    <w:rsid w:val="00400DE6"/>
    <w:rsid w:val="00403C75"/>
    <w:rsid w:val="0040548B"/>
    <w:rsid w:val="004057A0"/>
    <w:rsid w:val="004104C6"/>
    <w:rsid w:val="00411CC7"/>
    <w:rsid w:val="00413AD7"/>
    <w:rsid w:val="00413F65"/>
    <w:rsid w:val="00414407"/>
    <w:rsid w:val="004162FF"/>
    <w:rsid w:val="004164E4"/>
    <w:rsid w:val="0042002A"/>
    <w:rsid w:val="00420B8F"/>
    <w:rsid w:val="00421020"/>
    <w:rsid w:val="00421F40"/>
    <w:rsid w:val="00422EC6"/>
    <w:rsid w:val="00422F5D"/>
    <w:rsid w:val="00423D4C"/>
    <w:rsid w:val="00423D51"/>
    <w:rsid w:val="00427EDA"/>
    <w:rsid w:val="00430AAD"/>
    <w:rsid w:val="00431623"/>
    <w:rsid w:val="0043399C"/>
    <w:rsid w:val="00433D26"/>
    <w:rsid w:val="00434698"/>
    <w:rsid w:val="00435773"/>
    <w:rsid w:val="00437B22"/>
    <w:rsid w:val="004408D8"/>
    <w:rsid w:val="004410CF"/>
    <w:rsid w:val="00442536"/>
    <w:rsid w:val="00442909"/>
    <w:rsid w:val="0044308A"/>
    <w:rsid w:val="004436B8"/>
    <w:rsid w:val="00444429"/>
    <w:rsid w:val="004446C2"/>
    <w:rsid w:val="00444A01"/>
    <w:rsid w:val="00445434"/>
    <w:rsid w:val="00446587"/>
    <w:rsid w:val="0045210D"/>
    <w:rsid w:val="00452284"/>
    <w:rsid w:val="0045384E"/>
    <w:rsid w:val="00456347"/>
    <w:rsid w:val="004575E1"/>
    <w:rsid w:val="00457E27"/>
    <w:rsid w:val="00460D06"/>
    <w:rsid w:val="00460EB6"/>
    <w:rsid w:val="00461B71"/>
    <w:rsid w:val="00462EEE"/>
    <w:rsid w:val="00463823"/>
    <w:rsid w:val="00463B38"/>
    <w:rsid w:val="00463EAE"/>
    <w:rsid w:val="00464801"/>
    <w:rsid w:val="004653C8"/>
    <w:rsid w:val="004658AD"/>
    <w:rsid w:val="00470173"/>
    <w:rsid w:val="00470ABC"/>
    <w:rsid w:val="00472368"/>
    <w:rsid w:val="00472940"/>
    <w:rsid w:val="00473359"/>
    <w:rsid w:val="004734DA"/>
    <w:rsid w:val="00475C98"/>
    <w:rsid w:val="0048176A"/>
    <w:rsid w:val="00482299"/>
    <w:rsid w:val="00483DF2"/>
    <w:rsid w:val="00484383"/>
    <w:rsid w:val="004846D2"/>
    <w:rsid w:val="00484CA3"/>
    <w:rsid w:val="004854B6"/>
    <w:rsid w:val="00485A00"/>
    <w:rsid w:val="004861CF"/>
    <w:rsid w:val="0048680C"/>
    <w:rsid w:val="0048739F"/>
    <w:rsid w:val="00487D6B"/>
    <w:rsid w:val="00487E11"/>
    <w:rsid w:val="0049025F"/>
    <w:rsid w:val="00490598"/>
    <w:rsid w:val="00490B1F"/>
    <w:rsid w:val="00490D41"/>
    <w:rsid w:val="00490DF3"/>
    <w:rsid w:val="00491B94"/>
    <w:rsid w:val="00491F06"/>
    <w:rsid w:val="0049275A"/>
    <w:rsid w:val="00493096"/>
    <w:rsid w:val="00494248"/>
    <w:rsid w:val="00494A7C"/>
    <w:rsid w:val="00496BE1"/>
    <w:rsid w:val="00497CAE"/>
    <w:rsid w:val="004A04B5"/>
    <w:rsid w:val="004A0BA8"/>
    <w:rsid w:val="004A0FB5"/>
    <w:rsid w:val="004A4907"/>
    <w:rsid w:val="004A4F77"/>
    <w:rsid w:val="004A584E"/>
    <w:rsid w:val="004A70FD"/>
    <w:rsid w:val="004A75EF"/>
    <w:rsid w:val="004A7C23"/>
    <w:rsid w:val="004B1C1E"/>
    <w:rsid w:val="004B2F95"/>
    <w:rsid w:val="004B56CC"/>
    <w:rsid w:val="004B7121"/>
    <w:rsid w:val="004B735C"/>
    <w:rsid w:val="004C0967"/>
    <w:rsid w:val="004C1832"/>
    <w:rsid w:val="004C2B9A"/>
    <w:rsid w:val="004C2FA6"/>
    <w:rsid w:val="004C31EF"/>
    <w:rsid w:val="004C373A"/>
    <w:rsid w:val="004C3A45"/>
    <w:rsid w:val="004C3D0F"/>
    <w:rsid w:val="004C4297"/>
    <w:rsid w:val="004C4BEA"/>
    <w:rsid w:val="004C584B"/>
    <w:rsid w:val="004C5934"/>
    <w:rsid w:val="004C5B51"/>
    <w:rsid w:val="004C61B2"/>
    <w:rsid w:val="004C6939"/>
    <w:rsid w:val="004D0A06"/>
    <w:rsid w:val="004D0AC4"/>
    <w:rsid w:val="004D14D3"/>
    <w:rsid w:val="004D1D26"/>
    <w:rsid w:val="004D2F3F"/>
    <w:rsid w:val="004D5D12"/>
    <w:rsid w:val="004D6683"/>
    <w:rsid w:val="004D7D9E"/>
    <w:rsid w:val="004E0151"/>
    <w:rsid w:val="004E1A48"/>
    <w:rsid w:val="004E26CC"/>
    <w:rsid w:val="004E3621"/>
    <w:rsid w:val="004E3F38"/>
    <w:rsid w:val="004E46DD"/>
    <w:rsid w:val="004E523A"/>
    <w:rsid w:val="004E64B5"/>
    <w:rsid w:val="004E68A3"/>
    <w:rsid w:val="004E6D2C"/>
    <w:rsid w:val="004E71BA"/>
    <w:rsid w:val="004F25C4"/>
    <w:rsid w:val="004F28C2"/>
    <w:rsid w:val="004F2FF3"/>
    <w:rsid w:val="004F311A"/>
    <w:rsid w:val="004F409D"/>
    <w:rsid w:val="004F493B"/>
    <w:rsid w:val="004F4F9E"/>
    <w:rsid w:val="004F570E"/>
    <w:rsid w:val="004F659D"/>
    <w:rsid w:val="004F6ED2"/>
    <w:rsid w:val="004F70E8"/>
    <w:rsid w:val="005003D7"/>
    <w:rsid w:val="00501177"/>
    <w:rsid w:val="00501A2A"/>
    <w:rsid w:val="005032AE"/>
    <w:rsid w:val="00504672"/>
    <w:rsid w:val="00504A8A"/>
    <w:rsid w:val="00506076"/>
    <w:rsid w:val="00506F1E"/>
    <w:rsid w:val="00507100"/>
    <w:rsid w:val="00507274"/>
    <w:rsid w:val="00510981"/>
    <w:rsid w:val="00510AD0"/>
    <w:rsid w:val="00510B6A"/>
    <w:rsid w:val="00510F70"/>
    <w:rsid w:val="005115ED"/>
    <w:rsid w:val="00511784"/>
    <w:rsid w:val="00513843"/>
    <w:rsid w:val="00513EB3"/>
    <w:rsid w:val="005147D1"/>
    <w:rsid w:val="0051486F"/>
    <w:rsid w:val="00514CBD"/>
    <w:rsid w:val="00515F6D"/>
    <w:rsid w:val="005164B0"/>
    <w:rsid w:val="005167E5"/>
    <w:rsid w:val="0051761D"/>
    <w:rsid w:val="005205F0"/>
    <w:rsid w:val="00520F4A"/>
    <w:rsid w:val="00521137"/>
    <w:rsid w:val="00523B16"/>
    <w:rsid w:val="0052473F"/>
    <w:rsid w:val="00524E38"/>
    <w:rsid w:val="00525660"/>
    <w:rsid w:val="00527440"/>
    <w:rsid w:val="005275CA"/>
    <w:rsid w:val="00527745"/>
    <w:rsid w:val="00533368"/>
    <w:rsid w:val="00533636"/>
    <w:rsid w:val="00535497"/>
    <w:rsid w:val="00535E22"/>
    <w:rsid w:val="00536186"/>
    <w:rsid w:val="00536A3F"/>
    <w:rsid w:val="005379FA"/>
    <w:rsid w:val="00540842"/>
    <w:rsid w:val="00541999"/>
    <w:rsid w:val="005428C5"/>
    <w:rsid w:val="00542B91"/>
    <w:rsid w:val="00543058"/>
    <w:rsid w:val="0054440C"/>
    <w:rsid w:val="00545393"/>
    <w:rsid w:val="00545590"/>
    <w:rsid w:val="00546E74"/>
    <w:rsid w:val="005478B6"/>
    <w:rsid w:val="00547B1D"/>
    <w:rsid w:val="00550102"/>
    <w:rsid w:val="00551D25"/>
    <w:rsid w:val="00552D13"/>
    <w:rsid w:val="0055311B"/>
    <w:rsid w:val="00553BB6"/>
    <w:rsid w:val="00553E34"/>
    <w:rsid w:val="00555658"/>
    <w:rsid w:val="00557BB1"/>
    <w:rsid w:val="00557D11"/>
    <w:rsid w:val="005606C2"/>
    <w:rsid w:val="005609BF"/>
    <w:rsid w:val="005614BC"/>
    <w:rsid w:val="00561657"/>
    <w:rsid w:val="0056206D"/>
    <w:rsid w:val="00562B54"/>
    <w:rsid w:val="00563A46"/>
    <w:rsid w:val="005647D5"/>
    <w:rsid w:val="0056698D"/>
    <w:rsid w:val="00567163"/>
    <w:rsid w:val="00567711"/>
    <w:rsid w:val="00570459"/>
    <w:rsid w:val="00570C17"/>
    <w:rsid w:val="00571ADC"/>
    <w:rsid w:val="005752B1"/>
    <w:rsid w:val="00576526"/>
    <w:rsid w:val="00577564"/>
    <w:rsid w:val="0057796D"/>
    <w:rsid w:val="00580051"/>
    <w:rsid w:val="0058067E"/>
    <w:rsid w:val="005814B4"/>
    <w:rsid w:val="0058219E"/>
    <w:rsid w:val="0058233A"/>
    <w:rsid w:val="00582858"/>
    <w:rsid w:val="005829F6"/>
    <w:rsid w:val="00582F9C"/>
    <w:rsid w:val="005830B5"/>
    <w:rsid w:val="005842FF"/>
    <w:rsid w:val="005848A2"/>
    <w:rsid w:val="00586318"/>
    <w:rsid w:val="00587DDD"/>
    <w:rsid w:val="00590378"/>
    <w:rsid w:val="005905CD"/>
    <w:rsid w:val="00590C25"/>
    <w:rsid w:val="00590E7D"/>
    <w:rsid w:val="00591C24"/>
    <w:rsid w:val="00592AAD"/>
    <w:rsid w:val="00592F2E"/>
    <w:rsid w:val="005937F4"/>
    <w:rsid w:val="005939DD"/>
    <w:rsid w:val="005947BF"/>
    <w:rsid w:val="005A013C"/>
    <w:rsid w:val="005A07C1"/>
    <w:rsid w:val="005A1A7E"/>
    <w:rsid w:val="005A1FA1"/>
    <w:rsid w:val="005A2761"/>
    <w:rsid w:val="005A3726"/>
    <w:rsid w:val="005A4677"/>
    <w:rsid w:val="005A5109"/>
    <w:rsid w:val="005A5AB8"/>
    <w:rsid w:val="005A5B6B"/>
    <w:rsid w:val="005A709F"/>
    <w:rsid w:val="005A762A"/>
    <w:rsid w:val="005A767D"/>
    <w:rsid w:val="005B0789"/>
    <w:rsid w:val="005B177A"/>
    <w:rsid w:val="005B1AF7"/>
    <w:rsid w:val="005B2BFB"/>
    <w:rsid w:val="005B3BF4"/>
    <w:rsid w:val="005B4B87"/>
    <w:rsid w:val="005B4DE1"/>
    <w:rsid w:val="005B53DE"/>
    <w:rsid w:val="005B7421"/>
    <w:rsid w:val="005C147E"/>
    <w:rsid w:val="005C1726"/>
    <w:rsid w:val="005C3ED9"/>
    <w:rsid w:val="005C58D8"/>
    <w:rsid w:val="005C697C"/>
    <w:rsid w:val="005C714E"/>
    <w:rsid w:val="005C7294"/>
    <w:rsid w:val="005C78C1"/>
    <w:rsid w:val="005C7C20"/>
    <w:rsid w:val="005C7C70"/>
    <w:rsid w:val="005C7D27"/>
    <w:rsid w:val="005C7F95"/>
    <w:rsid w:val="005D2DE4"/>
    <w:rsid w:val="005D32C5"/>
    <w:rsid w:val="005D4073"/>
    <w:rsid w:val="005D5183"/>
    <w:rsid w:val="005D6B02"/>
    <w:rsid w:val="005D7FF5"/>
    <w:rsid w:val="005E01DD"/>
    <w:rsid w:val="005E0BB8"/>
    <w:rsid w:val="005E13E2"/>
    <w:rsid w:val="005E14B8"/>
    <w:rsid w:val="005E2A55"/>
    <w:rsid w:val="005E2C6B"/>
    <w:rsid w:val="005E4565"/>
    <w:rsid w:val="005E4852"/>
    <w:rsid w:val="005E4C8D"/>
    <w:rsid w:val="005E7179"/>
    <w:rsid w:val="005E7764"/>
    <w:rsid w:val="005E7927"/>
    <w:rsid w:val="005F0022"/>
    <w:rsid w:val="005F1ABA"/>
    <w:rsid w:val="005F21A1"/>
    <w:rsid w:val="005F2225"/>
    <w:rsid w:val="005F29BE"/>
    <w:rsid w:val="005F3648"/>
    <w:rsid w:val="005F4629"/>
    <w:rsid w:val="005F47B4"/>
    <w:rsid w:val="005F4B91"/>
    <w:rsid w:val="005F4DE0"/>
    <w:rsid w:val="005F5081"/>
    <w:rsid w:val="005F5618"/>
    <w:rsid w:val="005F5FC8"/>
    <w:rsid w:val="005F6DCB"/>
    <w:rsid w:val="00601265"/>
    <w:rsid w:val="0060182C"/>
    <w:rsid w:val="00601D39"/>
    <w:rsid w:val="00602215"/>
    <w:rsid w:val="006035B0"/>
    <w:rsid w:val="0060474A"/>
    <w:rsid w:val="00604FC0"/>
    <w:rsid w:val="00605268"/>
    <w:rsid w:val="006057F5"/>
    <w:rsid w:val="00605CEF"/>
    <w:rsid w:val="00606083"/>
    <w:rsid w:val="00607391"/>
    <w:rsid w:val="00607580"/>
    <w:rsid w:val="00610654"/>
    <w:rsid w:val="00611536"/>
    <w:rsid w:val="00611C39"/>
    <w:rsid w:val="0061251C"/>
    <w:rsid w:val="00613CB9"/>
    <w:rsid w:val="00615250"/>
    <w:rsid w:val="00615E6A"/>
    <w:rsid w:val="00617301"/>
    <w:rsid w:val="0061769F"/>
    <w:rsid w:val="00617CC1"/>
    <w:rsid w:val="00617DCA"/>
    <w:rsid w:val="00617DD9"/>
    <w:rsid w:val="0062043B"/>
    <w:rsid w:val="006204E5"/>
    <w:rsid w:val="006206E1"/>
    <w:rsid w:val="00620961"/>
    <w:rsid w:val="006216D7"/>
    <w:rsid w:val="006227A6"/>
    <w:rsid w:val="00622D1D"/>
    <w:rsid w:val="0062439F"/>
    <w:rsid w:val="00624D9B"/>
    <w:rsid w:val="00626314"/>
    <w:rsid w:val="00626E13"/>
    <w:rsid w:val="00626E49"/>
    <w:rsid w:val="00626EBE"/>
    <w:rsid w:val="006273D6"/>
    <w:rsid w:val="00627D68"/>
    <w:rsid w:val="00630651"/>
    <w:rsid w:val="00632BF1"/>
    <w:rsid w:val="00633055"/>
    <w:rsid w:val="006337D1"/>
    <w:rsid w:val="00636453"/>
    <w:rsid w:val="00641859"/>
    <w:rsid w:val="00641B41"/>
    <w:rsid w:val="00642F5B"/>
    <w:rsid w:val="00643B66"/>
    <w:rsid w:val="00645AA6"/>
    <w:rsid w:val="00645D1F"/>
    <w:rsid w:val="00645FD0"/>
    <w:rsid w:val="0064645F"/>
    <w:rsid w:val="006500A9"/>
    <w:rsid w:val="00651E11"/>
    <w:rsid w:val="0065361E"/>
    <w:rsid w:val="00653C61"/>
    <w:rsid w:val="006561DF"/>
    <w:rsid w:val="00656851"/>
    <w:rsid w:val="00656D5F"/>
    <w:rsid w:val="0065779C"/>
    <w:rsid w:val="0066096D"/>
    <w:rsid w:val="00660DE0"/>
    <w:rsid w:val="00663DD6"/>
    <w:rsid w:val="0066492F"/>
    <w:rsid w:val="0066599C"/>
    <w:rsid w:val="00665A25"/>
    <w:rsid w:val="006673BF"/>
    <w:rsid w:val="006676FB"/>
    <w:rsid w:val="00670384"/>
    <w:rsid w:val="00672620"/>
    <w:rsid w:val="00672836"/>
    <w:rsid w:val="006739A2"/>
    <w:rsid w:val="00674576"/>
    <w:rsid w:val="00676098"/>
    <w:rsid w:val="0067651E"/>
    <w:rsid w:val="00677536"/>
    <w:rsid w:val="00677CB9"/>
    <w:rsid w:val="00680AE5"/>
    <w:rsid w:val="00680BA6"/>
    <w:rsid w:val="00681DBF"/>
    <w:rsid w:val="00682C7D"/>
    <w:rsid w:val="006847FB"/>
    <w:rsid w:val="00684934"/>
    <w:rsid w:val="00684F9E"/>
    <w:rsid w:val="00685E1D"/>
    <w:rsid w:val="0068610E"/>
    <w:rsid w:val="00686CDA"/>
    <w:rsid w:val="0068794F"/>
    <w:rsid w:val="00687F03"/>
    <w:rsid w:val="00690543"/>
    <w:rsid w:val="0069116F"/>
    <w:rsid w:val="0069182B"/>
    <w:rsid w:val="0069192D"/>
    <w:rsid w:val="00692A03"/>
    <w:rsid w:val="00693941"/>
    <w:rsid w:val="0069445A"/>
    <w:rsid w:val="00694ED0"/>
    <w:rsid w:val="006966E1"/>
    <w:rsid w:val="00696DBB"/>
    <w:rsid w:val="006A1F1A"/>
    <w:rsid w:val="006A36C2"/>
    <w:rsid w:val="006A37C2"/>
    <w:rsid w:val="006A4359"/>
    <w:rsid w:val="006A474A"/>
    <w:rsid w:val="006A4A5B"/>
    <w:rsid w:val="006A4D4E"/>
    <w:rsid w:val="006A4D5D"/>
    <w:rsid w:val="006A6EC9"/>
    <w:rsid w:val="006B0210"/>
    <w:rsid w:val="006B081C"/>
    <w:rsid w:val="006B2F4A"/>
    <w:rsid w:val="006B48D4"/>
    <w:rsid w:val="006B575A"/>
    <w:rsid w:val="006B59F2"/>
    <w:rsid w:val="006B6131"/>
    <w:rsid w:val="006B661B"/>
    <w:rsid w:val="006B6B92"/>
    <w:rsid w:val="006B7B8E"/>
    <w:rsid w:val="006C05DB"/>
    <w:rsid w:val="006C418D"/>
    <w:rsid w:val="006C436E"/>
    <w:rsid w:val="006C475F"/>
    <w:rsid w:val="006C595B"/>
    <w:rsid w:val="006C7FE8"/>
    <w:rsid w:val="006D080D"/>
    <w:rsid w:val="006D0E00"/>
    <w:rsid w:val="006D133F"/>
    <w:rsid w:val="006D1F82"/>
    <w:rsid w:val="006D4A02"/>
    <w:rsid w:val="006D4B78"/>
    <w:rsid w:val="006D4DB0"/>
    <w:rsid w:val="006D5479"/>
    <w:rsid w:val="006D5616"/>
    <w:rsid w:val="006E2389"/>
    <w:rsid w:val="006E47D5"/>
    <w:rsid w:val="006E4EA6"/>
    <w:rsid w:val="006E5082"/>
    <w:rsid w:val="006E6DCF"/>
    <w:rsid w:val="006E788C"/>
    <w:rsid w:val="006F32B8"/>
    <w:rsid w:val="006F4174"/>
    <w:rsid w:val="006F64BC"/>
    <w:rsid w:val="006F68DC"/>
    <w:rsid w:val="006F6BE2"/>
    <w:rsid w:val="00702C41"/>
    <w:rsid w:val="00704EAA"/>
    <w:rsid w:val="0070518D"/>
    <w:rsid w:val="00706044"/>
    <w:rsid w:val="00707705"/>
    <w:rsid w:val="00707BA8"/>
    <w:rsid w:val="007117F1"/>
    <w:rsid w:val="00714281"/>
    <w:rsid w:val="00715F09"/>
    <w:rsid w:val="00720636"/>
    <w:rsid w:val="007213F3"/>
    <w:rsid w:val="00722EE8"/>
    <w:rsid w:val="00723162"/>
    <w:rsid w:val="00723223"/>
    <w:rsid w:val="007234D4"/>
    <w:rsid w:val="00723CB6"/>
    <w:rsid w:val="007241E8"/>
    <w:rsid w:val="00726DC9"/>
    <w:rsid w:val="00726DCD"/>
    <w:rsid w:val="00727ECA"/>
    <w:rsid w:val="0073166D"/>
    <w:rsid w:val="00732704"/>
    <w:rsid w:val="00732790"/>
    <w:rsid w:val="00733438"/>
    <w:rsid w:val="007341FA"/>
    <w:rsid w:val="00735366"/>
    <w:rsid w:val="007353E4"/>
    <w:rsid w:val="007359A1"/>
    <w:rsid w:val="0074471F"/>
    <w:rsid w:val="007450A5"/>
    <w:rsid w:val="00745EC1"/>
    <w:rsid w:val="0074603E"/>
    <w:rsid w:val="007462C3"/>
    <w:rsid w:val="00750BAC"/>
    <w:rsid w:val="00750D97"/>
    <w:rsid w:val="00751576"/>
    <w:rsid w:val="00751577"/>
    <w:rsid w:val="007526FD"/>
    <w:rsid w:val="0075283F"/>
    <w:rsid w:val="00752C6A"/>
    <w:rsid w:val="0075445E"/>
    <w:rsid w:val="0075480B"/>
    <w:rsid w:val="00756BF2"/>
    <w:rsid w:val="0075702E"/>
    <w:rsid w:val="0075756F"/>
    <w:rsid w:val="0075759A"/>
    <w:rsid w:val="00757B8D"/>
    <w:rsid w:val="00757D88"/>
    <w:rsid w:val="00760A92"/>
    <w:rsid w:val="007614B0"/>
    <w:rsid w:val="00761C22"/>
    <w:rsid w:val="0076463A"/>
    <w:rsid w:val="00764820"/>
    <w:rsid w:val="00765551"/>
    <w:rsid w:val="00765677"/>
    <w:rsid w:val="00766063"/>
    <w:rsid w:val="007674E6"/>
    <w:rsid w:val="00767CB6"/>
    <w:rsid w:val="00770EBD"/>
    <w:rsid w:val="007721B7"/>
    <w:rsid w:val="007739E2"/>
    <w:rsid w:val="00773D9F"/>
    <w:rsid w:val="00774EA3"/>
    <w:rsid w:val="00775C02"/>
    <w:rsid w:val="00776384"/>
    <w:rsid w:val="007770C7"/>
    <w:rsid w:val="0078108C"/>
    <w:rsid w:val="00781322"/>
    <w:rsid w:val="00781491"/>
    <w:rsid w:val="00781B63"/>
    <w:rsid w:val="00782142"/>
    <w:rsid w:val="007826FC"/>
    <w:rsid w:val="00782B7D"/>
    <w:rsid w:val="00783267"/>
    <w:rsid w:val="00784254"/>
    <w:rsid w:val="007848C3"/>
    <w:rsid w:val="00784D29"/>
    <w:rsid w:val="00784D53"/>
    <w:rsid w:val="00784EC7"/>
    <w:rsid w:val="00785BBD"/>
    <w:rsid w:val="00787C10"/>
    <w:rsid w:val="007901D6"/>
    <w:rsid w:val="007902AC"/>
    <w:rsid w:val="00790CEE"/>
    <w:rsid w:val="0079144C"/>
    <w:rsid w:val="007914FF"/>
    <w:rsid w:val="00791574"/>
    <w:rsid w:val="00792710"/>
    <w:rsid w:val="00795927"/>
    <w:rsid w:val="00795B7A"/>
    <w:rsid w:val="0079672C"/>
    <w:rsid w:val="00797354"/>
    <w:rsid w:val="007A073E"/>
    <w:rsid w:val="007A0BA7"/>
    <w:rsid w:val="007A102C"/>
    <w:rsid w:val="007A1E4F"/>
    <w:rsid w:val="007A29B3"/>
    <w:rsid w:val="007A2C31"/>
    <w:rsid w:val="007A4354"/>
    <w:rsid w:val="007A48FB"/>
    <w:rsid w:val="007B0934"/>
    <w:rsid w:val="007B143E"/>
    <w:rsid w:val="007B1804"/>
    <w:rsid w:val="007B2164"/>
    <w:rsid w:val="007B254F"/>
    <w:rsid w:val="007B2FA7"/>
    <w:rsid w:val="007B4A71"/>
    <w:rsid w:val="007B4B34"/>
    <w:rsid w:val="007B4F24"/>
    <w:rsid w:val="007B5064"/>
    <w:rsid w:val="007B5B14"/>
    <w:rsid w:val="007B5FE0"/>
    <w:rsid w:val="007B67C1"/>
    <w:rsid w:val="007B6822"/>
    <w:rsid w:val="007B6D87"/>
    <w:rsid w:val="007B7A86"/>
    <w:rsid w:val="007B7D28"/>
    <w:rsid w:val="007C0188"/>
    <w:rsid w:val="007C1168"/>
    <w:rsid w:val="007C2CE4"/>
    <w:rsid w:val="007C2D4D"/>
    <w:rsid w:val="007C513C"/>
    <w:rsid w:val="007C6253"/>
    <w:rsid w:val="007C65F4"/>
    <w:rsid w:val="007C7333"/>
    <w:rsid w:val="007C7934"/>
    <w:rsid w:val="007D0E0F"/>
    <w:rsid w:val="007D2244"/>
    <w:rsid w:val="007D42F0"/>
    <w:rsid w:val="007D5C53"/>
    <w:rsid w:val="007D5C69"/>
    <w:rsid w:val="007D7662"/>
    <w:rsid w:val="007D7E79"/>
    <w:rsid w:val="007E10C9"/>
    <w:rsid w:val="007E1805"/>
    <w:rsid w:val="007E20B8"/>
    <w:rsid w:val="007E3412"/>
    <w:rsid w:val="007E34C0"/>
    <w:rsid w:val="007E3737"/>
    <w:rsid w:val="007E4EBF"/>
    <w:rsid w:val="007E5BC0"/>
    <w:rsid w:val="007E6322"/>
    <w:rsid w:val="007E640E"/>
    <w:rsid w:val="007E6C05"/>
    <w:rsid w:val="007E7369"/>
    <w:rsid w:val="007F05C3"/>
    <w:rsid w:val="007F07E8"/>
    <w:rsid w:val="007F2CF8"/>
    <w:rsid w:val="007F4A76"/>
    <w:rsid w:val="007F4CBE"/>
    <w:rsid w:val="007F65DF"/>
    <w:rsid w:val="007F6F62"/>
    <w:rsid w:val="008004AE"/>
    <w:rsid w:val="00801FE9"/>
    <w:rsid w:val="00802B70"/>
    <w:rsid w:val="008041CF"/>
    <w:rsid w:val="00804D45"/>
    <w:rsid w:val="00805FD9"/>
    <w:rsid w:val="008074DF"/>
    <w:rsid w:val="0080765A"/>
    <w:rsid w:val="00807802"/>
    <w:rsid w:val="00810143"/>
    <w:rsid w:val="00810DB2"/>
    <w:rsid w:val="00811175"/>
    <w:rsid w:val="00812BB4"/>
    <w:rsid w:val="00812DE2"/>
    <w:rsid w:val="00814120"/>
    <w:rsid w:val="008141F9"/>
    <w:rsid w:val="00817EA0"/>
    <w:rsid w:val="00817F8F"/>
    <w:rsid w:val="008206F4"/>
    <w:rsid w:val="00821806"/>
    <w:rsid w:val="00821D6C"/>
    <w:rsid w:val="00821EB1"/>
    <w:rsid w:val="00822F4B"/>
    <w:rsid w:val="00823A85"/>
    <w:rsid w:val="0082423F"/>
    <w:rsid w:val="00825343"/>
    <w:rsid w:val="008270E8"/>
    <w:rsid w:val="008300FE"/>
    <w:rsid w:val="00830B6C"/>
    <w:rsid w:val="0083193E"/>
    <w:rsid w:val="008320DE"/>
    <w:rsid w:val="008322DD"/>
    <w:rsid w:val="008328F8"/>
    <w:rsid w:val="008335B3"/>
    <w:rsid w:val="00834241"/>
    <w:rsid w:val="00835565"/>
    <w:rsid w:val="008369C7"/>
    <w:rsid w:val="00837316"/>
    <w:rsid w:val="0084039E"/>
    <w:rsid w:val="00840608"/>
    <w:rsid w:val="00840E73"/>
    <w:rsid w:val="0084233F"/>
    <w:rsid w:val="00842900"/>
    <w:rsid w:val="008437A7"/>
    <w:rsid w:val="0084499E"/>
    <w:rsid w:val="00844B41"/>
    <w:rsid w:val="00846053"/>
    <w:rsid w:val="008467E1"/>
    <w:rsid w:val="00847236"/>
    <w:rsid w:val="00850679"/>
    <w:rsid w:val="00850E4B"/>
    <w:rsid w:val="00850E56"/>
    <w:rsid w:val="00851990"/>
    <w:rsid w:val="0085762C"/>
    <w:rsid w:val="00861453"/>
    <w:rsid w:val="0086311D"/>
    <w:rsid w:val="008635DB"/>
    <w:rsid w:val="008644BC"/>
    <w:rsid w:val="00864872"/>
    <w:rsid w:val="0086687A"/>
    <w:rsid w:val="00867298"/>
    <w:rsid w:val="0087040F"/>
    <w:rsid w:val="0087097D"/>
    <w:rsid w:val="008710AB"/>
    <w:rsid w:val="0087190E"/>
    <w:rsid w:val="00873C2D"/>
    <w:rsid w:val="00874424"/>
    <w:rsid w:val="00876C93"/>
    <w:rsid w:val="008773B4"/>
    <w:rsid w:val="00877E77"/>
    <w:rsid w:val="00880B8B"/>
    <w:rsid w:val="00881B0C"/>
    <w:rsid w:val="00881C35"/>
    <w:rsid w:val="00881CC5"/>
    <w:rsid w:val="00882357"/>
    <w:rsid w:val="008832A5"/>
    <w:rsid w:val="0088348D"/>
    <w:rsid w:val="00885D8C"/>
    <w:rsid w:val="00885F88"/>
    <w:rsid w:val="00886742"/>
    <w:rsid w:val="008868D1"/>
    <w:rsid w:val="00886AAF"/>
    <w:rsid w:val="00887709"/>
    <w:rsid w:val="0088781A"/>
    <w:rsid w:val="00887D19"/>
    <w:rsid w:val="00887DB4"/>
    <w:rsid w:val="008901A2"/>
    <w:rsid w:val="008911F0"/>
    <w:rsid w:val="008927C7"/>
    <w:rsid w:val="0089284A"/>
    <w:rsid w:val="00893822"/>
    <w:rsid w:val="008958B3"/>
    <w:rsid w:val="00896468"/>
    <w:rsid w:val="00896D6E"/>
    <w:rsid w:val="008A1396"/>
    <w:rsid w:val="008A13CC"/>
    <w:rsid w:val="008A16B2"/>
    <w:rsid w:val="008A2109"/>
    <w:rsid w:val="008A3048"/>
    <w:rsid w:val="008A4E16"/>
    <w:rsid w:val="008A5C12"/>
    <w:rsid w:val="008A5D7A"/>
    <w:rsid w:val="008A6FAE"/>
    <w:rsid w:val="008A7B59"/>
    <w:rsid w:val="008B1B41"/>
    <w:rsid w:val="008B1EB4"/>
    <w:rsid w:val="008B360C"/>
    <w:rsid w:val="008B42BA"/>
    <w:rsid w:val="008B4DCF"/>
    <w:rsid w:val="008B6638"/>
    <w:rsid w:val="008C0CF0"/>
    <w:rsid w:val="008C0EC3"/>
    <w:rsid w:val="008C12E7"/>
    <w:rsid w:val="008C185E"/>
    <w:rsid w:val="008C2CB4"/>
    <w:rsid w:val="008C39EC"/>
    <w:rsid w:val="008C4720"/>
    <w:rsid w:val="008C4AD5"/>
    <w:rsid w:val="008C5E31"/>
    <w:rsid w:val="008C6958"/>
    <w:rsid w:val="008C77A5"/>
    <w:rsid w:val="008D1293"/>
    <w:rsid w:val="008D1D37"/>
    <w:rsid w:val="008D50A6"/>
    <w:rsid w:val="008D5635"/>
    <w:rsid w:val="008D5B83"/>
    <w:rsid w:val="008D5BEA"/>
    <w:rsid w:val="008D5D68"/>
    <w:rsid w:val="008D6FBB"/>
    <w:rsid w:val="008E0113"/>
    <w:rsid w:val="008E0346"/>
    <w:rsid w:val="008E161D"/>
    <w:rsid w:val="008E183C"/>
    <w:rsid w:val="008E1964"/>
    <w:rsid w:val="008E1F6E"/>
    <w:rsid w:val="008E2456"/>
    <w:rsid w:val="008E2977"/>
    <w:rsid w:val="008E2F5A"/>
    <w:rsid w:val="008E621E"/>
    <w:rsid w:val="008E68EA"/>
    <w:rsid w:val="008E753C"/>
    <w:rsid w:val="008E7973"/>
    <w:rsid w:val="008F0675"/>
    <w:rsid w:val="008F0BCC"/>
    <w:rsid w:val="008F1818"/>
    <w:rsid w:val="008F284B"/>
    <w:rsid w:val="008F34A2"/>
    <w:rsid w:val="008F3CAD"/>
    <w:rsid w:val="008F46EC"/>
    <w:rsid w:val="008F4C28"/>
    <w:rsid w:val="008F4DB8"/>
    <w:rsid w:val="008F5316"/>
    <w:rsid w:val="008F6D49"/>
    <w:rsid w:val="00900C67"/>
    <w:rsid w:val="00903D79"/>
    <w:rsid w:val="00904C82"/>
    <w:rsid w:val="00907208"/>
    <w:rsid w:val="00911F63"/>
    <w:rsid w:val="00912E05"/>
    <w:rsid w:val="00913F67"/>
    <w:rsid w:val="00914815"/>
    <w:rsid w:val="0091511B"/>
    <w:rsid w:val="00915776"/>
    <w:rsid w:val="00915C88"/>
    <w:rsid w:val="00915D49"/>
    <w:rsid w:val="009163B4"/>
    <w:rsid w:val="00917469"/>
    <w:rsid w:val="00920930"/>
    <w:rsid w:val="00921098"/>
    <w:rsid w:val="009217FB"/>
    <w:rsid w:val="00922CCB"/>
    <w:rsid w:val="009233FA"/>
    <w:rsid w:val="0092401A"/>
    <w:rsid w:val="00924A16"/>
    <w:rsid w:val="00924AD5"/>
    <w:rsid w:val="0092584C"/>
    <w:rsid w:val="009260CA"/>
    <w:rsid w:val="00926466"/>
    <w:rsid w:val="00926614"/>
    <w:rsid w:val="00926B1B"/>
    <w:rsid w:val="0092765B"/>
    <w:rsid w:val="00927B36"/>
    <w:rsid w:val="00927B78"/>
    <w:rsid w:val="009317CC"/>
    <w:rsid w:val="00932073"/>
    <w:rsid w:val="009320CD"/>
    <w:rsid w:val="00933FDD"/>
    <w:rsid w:val="00934BA8"/>
    <w:rsid w:val="00941F22"/>
    <w:rsid w:val="00943092"/>
    <w:rsid w:val="00943870"/>
    <w:rsid w:val="009438DB"/>
    <w:rsid w:val="00943F09"/>
    <w:rsid w:val="00944CFD"/>
    <w:rsid w:val="009453E9"/>
    <w:rsid w:val="00945F9A"/>
    <w:rsid w:val="009515AB"/>
    <w:rsid w:val="009523DB"/>
    <w:rsid w:val="00952531"/>
    <w:rsid w:val="009545E5"/>
    <w:rsid w:val="00955CDD"/>
    <w:rsid w:val="009572F8"/>
    <w:rsid w:val="00957D73"/>
    <w:rsid w:val="00957FD8"/>
    <w:rsid w:val="00961125"/>
    <w:rsid w:val="0096152C"/>
    <w:rsid w:val="0096196F"/>
    <w:rsid w:val="00961C96"/>
    <w:rsid w:val="009621AF"/>
    <w:rsid w:val="00962310"/>
    <w:rsid w:val="00962503"/>
    <w:rsid w:val="0096312F"/>
    <w:rsid w:val="00964C2B"/>
    <w:rsid w:val="00964C67"/>
    <w:rsid w:val="00964CDE"/>
    <w:rsid w:val="0096516D"/>
    <w:rsid w:val="00965DC8"/>
    <w:rsid w:val="00966010"/>
    <w:rsid w:val="0096655B"/>
    <w:rsid w:val="0097087F"/>
    <w:rsid w:val="00972256"/>
    <w:rsid w:val="00974BC8"/>
    <w:rsid w:val="0097691C"/>
    <w:rsid w:val="00977192"/>
    <w:rsid w:val="00980F6D"/>
    <w:rsid w:val="00981D4E"/>
    <w:rsid w:val="00983620"/>
    <w:rsid w:val="00984B43"/>
    <w:rsid w:val="00984EEB"/>
    <w:rsid w:val="00984F5F"/>
    <w:rsid w:val="00984FA0"/>
    <w:rsid w:val="009865B5"/>
    <w:rsid w:val="00987C52"/>
    <w:rsid w:val="00990413"/>
    <w:rsid w:val="009906FD"/>
    <w:rsid w:val="00990E11"/>
    <w:rsid w:val="00991EF2"/>
    <w:rsid w:val="00992CD4"/>
    <w:rsid w:val="00993278"/>
    <w:rsid w:val="00993E97"/>
    <w:rsid w:val="009959F4"/>
    <w:rsid w:val="009969D1"/>
    <w:rsid w:val="00996C8C"/>
    <w:rsid w:val="009A0975"/>
    <w:rsid w:val="009A19AE"/>
    <w:rsid w:val="009A24BB"/>
    <w:rsid w:val="009A2799"/>
    <w:rsid w:val="009A2C22"/>
    <w:rsid w:val="009A3D09"/>
    <w:rsid w:val="009A4D74"/>
    <w:rsid w:val="009A64DC"/>
    <w:rsid w:val="009A6C68"/>
    <w:rsid w:val="009A7409"/>
    <w:rsid w:val="009B0A0C"/>
    <w:rsid w:val="009B10AC"/>
    <w:rsid w:val="009B1D3F"/>
    <w:rsid w:val="009B2BBF"/>
    <w:rsid w:val="009B2D37"/>
    <w:rsid w:val="009B31EB"/>
    <w:rsid w:val="009B3645"/>
    <w:rsid w:val="009B3B59"/>
    <w:rsid w:val="009B57FD"/>
    <w:rsid w:val="009B5DCC"/>
    <w:rsid w:val="009C0B5E"/>
    <w:rsid w:val="009C1929"/>
    <w:rsid w:val="009C2FC5"/>
    <w:rsid w:val="009C5415"/>
    <w:rsid w:val="009C58FC"/>
    <w:rsid w:val="009C67C6"/>
    <w:rsid w:val="009C7063"/>
    <w:rsid w:val="009C788D"/>
    <w:rsid w:val="009C79ED"/>
    <w:rsid w:val="009C7B56"/>
    <w:rsid w:val="009D07FE"/>
    <w:rsid w:val="009D362A"/>
    <w:rsid w:val="009D5FBB"/>
    <w:rsid w:val="009D658C"/>
    <w:rsid w:val="009D682A"/>
    <w:rsid w:val="009E0046"/>
    <w:rsid w:val="009E0BF5"/>
    <w:rsid w:val="009E1662"/>
    <w:rsid w:val="009E1A97"/>
    <w:rsid w:val="009E1EE7"/>
    <w:rsid w:val="009E1FA6"/>
    <w:rsid w:val="009E2BF8"/>
    <w:rsid w:val="009E2F88"/>
    <w:rsid w:val="009E5346"/>
    <w:rsid w:val="009E5DB5"/>
    <w:rsid w:val="009F0A4B"/>
    <w:rsid w:val="009F1EA0"/>
    <w:rsid w:val="009F2B54"/>
    <w:rsid w:val="009F3A6D"/>
    <w:rsid w:val="009F5577"/>
    <w:rsid w:val="009F5679"/>
    <w:rsid w:val="009F682D"/>
    <w:rsid w:val="009F6DE3"/>
    <w:rsid w:val="00A01239"/>
    <w:rsid w:val="00A0160E"/>
    <w:rsid w:val="00A019EB"/>
    <w:rsid w:val="00A01E0A"/>
    <w:rsid w:val="00A0297A"/>
    <w:rsid w:val="00A03220"/>
    <w:rsid w:val="00A03C39"/>
    <w:rsid w:val="00A041E4"/>
    <w:rsid w:val="00A043CE"/>
    <w:rsid w:val="00A04863"/>
    <w:rsid w:val="00A04F83"/>
    <w:rsid w:val="00A059BF"/>
    <w:rsid w:val="00A05F05"/>
    <w:rsid w:val="00A06BC8"/>
    <w:rsid w:val="00A074E7"/>
    <w:rsid w:val="00A11C60"/>
    <w:rsid w:val="00A12D82"/>
    <w:rsid w:val="00A1346B"/>
    <w:rsid w:val="00A14F6A"/>
    <w:rsid w:val="00A16362"/>
    <w:rsid w:val="00A16568"/>
    <w:rsid w:val="00A16829"/>
    <w:rsid w:val="00A2039E"/>
    <w:rsid w:val="00A21860"/>
    <w:rsid w:val="00A22F3F"/>
    <w:rsid w:val="00A233EA"/>
    <w:rsid w:val="00A240D9"/>
    <w:rsid w:val="00A2512C"/>
    <w:rsid w:val="00A25A2B"/>
    <w:rsid w:val="00A25FCE"/>
    <w:rsid w:val="00A27403"/>
    <w:rsid w:val="00A303C7"/>
    <w:rsid w:val="00A3208E"/>
    <w:rsid w:val="00A3213A"/>
    <w:rsid w:val="00A3346F"/>
    <w:rsid w:val="00A34BD1"/>
    <w:rsid w:val="00A357C2"/>
    <w:rsid w:val="00A35A32"/>
    <w:rsid w:val="00A35B62"/>
    <w:rsid w:val="00A37179"/>
    <w:rsid w:val="00A407BF"/>
    <w:rsid w:val="00A40CFE"/>
    <w:rsid w:val="00A42999"/>
    <w:rsid w:val="00A43307"/>
    <w:rsid w:val="00A439B5"/>
    <w:rsid w:val="00A45CDB"/>
    <w:rsid w:val="00A4662C"/>
    <w:rsid w:val="00A46E36"/>
    <w:rsid w:val="00A47143"/>
    <w:rsid w:val="00A4734A"/>
    <w:rsid w:val="00A47CE4"/>
    <w:rsid w:val="00A500AC"/>
    <w:rsid w:val="00A507AA"/>
    <w:rsid w:val="00A51A6D"/>
    <w:rsid w:val="00A5227D"/>
    <w:rsid w:val="00A5308C"/>
    <w:rsid w:val="00A53297"/>
    <w:rsid w:val="00A556BA"/>
    <w:rsid w:val="00A564F8"/>
    <w:rsid w:val="00A57321"/>
    <w:rsid w:val="00A575BC"/>
    <w:rsid w:val="00A602D0"/>
    <w:rsid w:val="00A61C8E"/>
    <w:rsid w:val="00A62D76"/>
    <w:rsid w:val="00A635D9"/>
    <w:rsid w:val="00A6385D"/>
    <w:rsid w:val="00A63E6B"/>
    <w:rsid w:val="00A64190"/>
    <w:rsid w:val="00A6490C"/>
    <w:rsid w:val="00A649E8"/>
    <w:rsid w:val="00A708CF"/>
    <w:rsid w:val="00A73E00"/>
    <w:rsid w:val="00A7682D"/>
    <w:rsid w:val="00A76953"/>
    <w:rsid w:val="00A7728A"/>
    <w:rsid w:val="00A77670"/>
    <w:rsid w:val="00A80C83"/>
    <w:rsid w:val="00A81219"/>
    <w:rsid w:val="00A8146F"/>
    <w:rsid w:val="00A822BF"/>
    <w:rsid w:val="00A82FF4"/>
    <w:rsid w:val="00A832E9"/>
    <w:rsid w:val="00A832F3"/>
    <w:rsid w:val="00A852ED"/>
    <w:rsid w:val="00A8617B"/>
    <w:rsid w:val="00A86BB5"/>
    <w:rsid w:val="00A86C0C"/>
    <w:rsid w:val="00A92D3A"/>
    <w:rsid w:val="00A9440F"/>
    <w:rsid w:val="00AA0A94"/>
    <w:rsid w:val="00AA0C91"/>
    <w:rsid w:val="00AA1BD2"/>
    <w:rsid w:val="00AA206A"/>
    <w:rsid w:val="00AA28E8"/>
    <w:rsid w:val="00AA2BB5"/>
    <w:rsid w:val="00AA2DE6"/>
    <w:rsid w:val="00AA446B"/>
    <w:rsid w:val="00AA472E"/>
    <w:rsid w:val="00AA4A28"/>
    <w:rsid w:val="00AA5543"/>
    <w:rsid w:val="00AA7F8C"/>
    <w:rsid w:val="00AB02A8"/>
    <w:rsid w:val="00AB03B7"/>
    <w:rsid w:val="00AB0DF3"/>
    <w:rsid w:val="00AB1683"/>
    <w:rsid w:val="00AB26D1"/>
    <w:rsid w:val="00AB2BE0"/>
    <w:rsid w:val="00AB3413"/>
    <w:rsid w:val="00AB3A6D"/>
    <w:rsid w:val="00AB3AB9"/>
    <w:rsid w:val="00AB44A2"/>
    <w:rsid w:val="00AB58F7"/>
    <w:rsid w:val="00AB5C90"/>
    <w:rsid w:val="00AB70B7"/>
    <w:rsid w:val="00AB7AE2"/>
    <w:rsid w:val="00AC06B0"/>
    <w:rsid w:val="00AC1158"/>
    <w:rsid w:val="00AC1B2E"/>
    <w:rsid w:val="00AC3C00"/>
    <w:rsid w:val="00AC3F13"/>
    <w:rsid w:val="00AC407D"/>
    <w:rsid w:val="00AC418A"/>
    <w:rsid w:val="00AC4F17"/>
    <w:rsid w:val="00AC6973"/>
    <w:rsid w:val="00AC6FB4"/>
    <w:rsid w:val="00AC7C91"/>
    <w:rsid w:val="00AD2037"/>
    <w:rsid w:val="00AD2CCD"/>
    <w:rsid w:val="00AD3A93"/>
    <w:rsid w:val="00AD419C"/>
    <w:rsid w:val="00AD6917"/>
    <w:rsid w:val="00AD6DE7"/>
    <w:rsid w:val="00AD7343"/>
    <w:rsid w:val="00AD775C"/>
    <w:rsid w:val="00AD7C3F"/>
    <w:rsid w:val="00AE0A24"/>
    <w:rsid w:val="00AE0A45"/>
    <w:rsid w:val="00AE11D9"/>
    <w:rsid w:val="00AE1696"/>
    <w:rsid w:val="00AE1A70"/>
    <w:rsid w:val="00AE2A29"/>
    <w:rsid w:val="00AE38E4"/>
    <w:rsid w:val="00AE4441"/>
    <w:rsid w:val="00AE44D5"/>
    <w:rsid w:val="00AE4539"/>
    <w:rsid w:val="00AE4A5D"/>
    <w:rsid w:val="00AE5F07"/>
    <w:rsid w:val="00AE6CA3"/>
    <w:rsid w:val="00AF0059"/>
    <w:rsid w:val="00AF178D"/>
    <w:rsid w:val="00AF1CF5"/>
    <w:rsid w:val="00AF2573"/>
    <w:rsid w:val="00AF2D67"/>
    <w:rsid w:val="00AF3FA7"/>
    <w:rsid w:val="00AF41F6"/>
    <w:rsid w:val="00AF483C"/>
    <w:rsid w:val="00AF4E17"/>
    <w:rsid w:val="00AF5302"/>
    <w:rsid w:val="00AF5B5E"/>
    <w:rsid w:val="00AF7562"/>
    <w:rsid w:val="00B0107A"/>
    <w:rsid w:val="00B03444"/>
    <w:rsid w:val="00B04FE8"/>
    <w:rsid w:val="00B06322"/>
    <w:rsid w:val="00B06711"/>
    <w:rsid w:val="00B105F7"/>
    <w:rsid w:val="00B11B16"/>
    <w:rsid w:val="00B14AE8"/>
    <w:rsid w:val="00B152E0"/>
    <w:rsid w:val="00B1609B"/>
    <w:rsid w:val="00B17DC8"/>
    <w:rsid w:val="00B20579"/>
    <w:rsid w:val="00B209ED"/>
    <w:rsid w:val="00B22338"/>
    <w:rsid w:val="00B22677"/>
    <w:rsid w:val="00B23B87"/>
    <w:rsid w:val="00B23C08"/>
    <w:rsid w:val="00B24AB0"/>
    <w:rsid w:val="00B255E5"/>
    <w:rsid w:val="00B30F72"/>
    <w:rsid w:val="00B31914"/>
    <w:rsid w:val="00B31C63"/>
    <w:rsid w:val="00B32998"/>
    <w:rsid w:val="00B330E1"/>
    <w:rsid w:val="00B34360"/>
    <w:rsid w:val="00B34C21"/>
    <w:rsid w:val="00B36AE9"/>
    <w:rsid w:val="00B37319"/>
    <w:rsid w:val="00B37D6C"/>
    <w:rsid w:val="00B40593"/>
    <w:rsid w:val="00B4077A"/>
    <w:rsid w:val="00B41598"/>
    <w:rsid w:val="00B42324"/>
    <w:rsid w:val="00B424A4"/>
    <w:rsid w:val="00B451AC"/>
    <w:rsid w:val="00B455E2"/>
    <w:rsid w:val="00B46E28"/>
    <w:rsid w:val="00B4737F"/>
    <w:rsid w:val="00B50D8A"/>
    <w:rsid w:val="00B51006"/>
    <w:rsid w:val="00B515D7"/>
    <w:rsid w:val="00B51725"/>
    <w:rsid w:val="00B521AF"/>
    <w:rsid w:val="00B52AC2"/>
    <w:rsid w:val="00B52DA6"/>
    <w:rsid w:val="00B53CA1"/>
    <w:rsid w:val="00B552F3"/>
    <w:rsid w:val="00B56B96"/>
    <w:rsid w:val="00B61A54"/>
    <w:rsid w:val="00B6280E"/>
    <w:rsid w:val="00B63C1B"/>
    <w:rsid w:val="00B6558E"/>
    <w:rsid w:val="00B65C4D"/>
    <w:rsid w:val="00B67A1F"/>
    <w:rsid w:val="00B71E23"/>
    <w:rsid w:val="00B72872"/>
    <w:rsid w:val="00B72C23"/>
    <w:rsid w:val="00B7353F"/>
    <w:rsid w:val="00B739A9"/>
    <w:rsid w:val="00B73EDE"/>
    <w:rsid w:val="00B73F2F"/>
    <w:rsid w:val="00B76B32"/>
    <w:rsid w:val="00B77666"/>
    <w:rsid w:val="00B81618"/>
    <w:rsid w:val="00B81D75"/>
    <w:rsid w:val="00B8291A"/>
    <w:rsid w:val="00B82E50"/>
    <w:rsid w:val="00B83295"/>
    <w:rsid w:val="00B83405"/>
    <w:rsid w:val="00B844D8"/>
    <w:rsid w:val="00B85028"/>
    <w:rsid w:val="00B85D5C"/>
    <w:rsid w:val="00B86B9E"/>
    <w:rsid w:val="00B90121"/>
    <w:rsid w:val="00B90640"/>
    <w:rsid w:val="00B92127"/>
    <w:rsid w:val="00B93F25"/>
    <w:rsid w:val="00B944F5"/>
    <w:rsid w:val="00B94EAE"/>
    <w:rsid w:val="00B9566A"/>
    <w:rsid w:val="00B9584F"/>
    <w:rsid w:val="00B9670C"/>
    <w:rsid w:val="00B96C40"/>
    <w:rsid w:val="00B97990"/>
    <w:rsid w:val="00BA05C7"/>
    <w:rsid w:val="00BA1C63"/>
    <w:rsid w:val="00BA22B1"/>
    <w:rsid w:val="00BA299F"/>
    <w:rsid w:val="00BA3A90"/>
    <w:rsid w:val="00BA44DC"/>
    <w:rsid w:val="00BA5385"/>
    <w:rsid w:val="00BA5743"/>
    <w:rsid w:val="00BA7AA5"/>
    <w:rsid w:val="00BB0141"/>
    <w:rsid w:val="00BB1377"/>
    <w:rsid w:val="00BB1437"/>
    <w:rsid w:val="00BB22E0"/>
    <w:rsid w:val="00BB31EC"/>
    <w:rsid w:val="00BB337B"/>
    <w:rsid w:val="00BB399E"/>
    <w:rsid w:val="00BB48FB"/>
    <w:rsid w:val="00BB4D75"/>
    <w:rsid w:val="00BB5023"/>
    <w:rsid w:val="00BB5380"/>
    <w:rsid w:val="00BB7606"/>
    <w:rsid w:val="00BC04B1"/>
    <w:rsid w:val="00BC06EE"/>
    <w:rsid w:val="00BC08EA"/>
    <w:rsid w:val="00BC1373"/>
    <w:rsid w:val="00BC1DCC"/>
    <w:rsid w:val="00BC3340"/>
    <w:rsid w:val="00BC4B40"/>
    <w:rsid w:val="00BC5178"/>
    <w:rsid w:val="00BC5EED"/>
    <w:rsid w:val="00BC6118"/>
    <w:rsid w:val="00BC720C"/>
    <w:rsid w:val="00BD0CF8"/>
    <w:rsid w:val="00BD1978"/>
    <w:rsid w:val="00BD3659"/>
    <w:rsid w:val="00BD3C26"/>
    <w:rsid w:val="00BE091A"/>
    <w:rsid w:val="00BE0C83"/>
    <w:rsid w:val="00BE0F32"/>
    <w:rsid w:val="00BE1AA5"/>
    <w:rsid w:val="00BE284D"/>
    <w:rsid w:val="00BE41CB"/>
    <w:rsid w:val="00BE61E0"/>
    <w:rsid w:val="00BE794A"/>
    <w:rsid w:val="00BF00CF"/>
    <w:rsid w:val="00BF08E7"/>
    <w:rsid w:val="00BF1DD1"/>
    <w:rsid w:val="00BF437D"/>
    <w:rsid w:val="00BF6201"/>
    <w:rsid w:val="00BF6598"/>
    <w:rsid w:val="00BF6E4D"/>
    <w:rsid w:val="00BF726E"/>
    <w:rsid w:val="00C00684"/>
    <w:rsid w:val="00C00701"/>
    <w:rsid w:val="00C009E9"/>
    <w:rsid w:val="00C01564"/>
    <w:rsid w:val="00C0157A"/>
    <w:rsid w:val="00C01D25"/>
    <w:rsid w:val="00C01EEA"/>
    <w:rsid w:val="00C04C44"/>
    <w:rsid w:val="00C050F6"/>
    <w:rsid w:val="00C05FDE"/>
    <w:rsid w:val="00C0661C"/>
    <w:rsid w:val="00C07A63"/>
    <w:rsid w:val="00C10136"/>
    <w:rsid w:val="00C10EC2"/>
    <w:rsid w:val="00C1121E"/>
    <w:rsid w:val="00C11393"/>
    <w:rsid w:val="00C13B72"/>
    <w:rsid w:val="00C1425B"/>
    <w:rsid w:val="00C14BEC"/>
    <w:rsid w:val="00C150DA"/>
    <w:rsid w:val="00C15B90"/>
    <w:rsid w:val="00C20424"/>
    <w:rsid w:val="00C20DF4"/>
    <w:rsid w:val="00C2266C"/>
    <w:rsid w:val="00C25CEC"/>
    <w:rsid w:val="00C27952"/>
    <w:rsid w:val="00C335BB"/>
    <w:rsid w:val="00C33C15"/>
    <w:rsid w:val="00C33C45"/>
    <w:rsid w:val="00C350A3"/>
    <w:rsid w:val="00C3592E"/>
    <w:rsid w:val="00C36279"/>
    <w:rsid w:val="00C365B8"/>
    <w:rsid w:val="00C40328"/>
    <w:rsid w:val="00C40F39"/>
    <w:rsid w:val="00C41038"/>
    <w:rsid w:val="00C42371"/>
    <w:rsid w:val="00C42472"/>
    <w:rsid w:val="00C424FC"/>
    <w:rsid w:val="00C42578"/>
    <w:rsid w:val="00C42A68"/>
    <w:rsid w:val="00C42BDE"/>
    <w:rsid w:val="00C437F1"/>
    <w:rsid w:val="00C441D0"/>
    <w:rsid w:val="00C456EA"/>
    <w:rsid w:val="00C457A3"/>
    <w:rsid w:val="00C47C4C"/>
    <w:rsid w:val="00C50942"/>
    <w:rsid w:val="00C50A3B"/>
    <w:rsid w:val="00C52882"/>
    <w:rsid w:val="00C52AEC"/>
    <w:rsid w:val="00C5394A"/>
    <w:rsid w:val="00C57527"/>
    <w:rsid w:val="00C6095C"/>
    <w:rsid w:val="00C620F8"/>
    <w:rsid w:val="00C627E8"/>
    <w:rsid w:val="00C62D1F"/>
    <w:rsid w:val="00C63906"/>
    <w:rsid w:val="00C63B2E"/>
    <w:rsid w:val="00C64411"/>
    <w:rsid w:val="00C66A1D"/>
    <w:rsid w:val="00C67569"/>
    <w:rsid w:val="00C675F6"/>
    <w:rsid w:val="00C67FFD"/>
    <w:rsid w:val="00C741B3"/>
    <w:rsid w:val="00C7537E"/>
    <w:rsid w:val="00C77770"/>
    <w:rsid w:val="00C801ED"/>
    <w:rsid w:val="00C80685"/>
    <w:rsid w:val="00C811E2"/>
    <w:rsid w:val="00C819C3"/>
    <w:rsid w:val="00C81B01"/>
    <w:rsid w:val="00C831A5"/>
    <w:rsid w:val="00C832A4"/>
    <w:rsid w:val="00C838D1"/>
    <w:rsid w:val="00C83AB5"/>
    <w:rsid w:val="00C85968"/>
    <w:rsid w:val="00C85A47"/>
    <w:rsid w:val="00C86D16"/>
    <w:rsid w:val="00C8715C"/>
    <w:rsid w:val="00C904B5"/>
    <w:rsid w:val="00C91B14"/>
    <w:rsid w:val="00C92373"/>
    <w:rsid w:val="00C9332E"/>
    <w:rsid w:val="00C95D46"/>
    <w:rsid w:val="00C96155"/>
    <w:rsid w:val="00C9660F"/>
    <w:rsid w:val="00C9683E"/>
    <w:rsid w:val="00C96E93"/>
    <w:rsid w:val="00C970DB"/>
    <w:rsid w:val="00CA0E3B"/>
    <w:rsid w:val="00CA11B6"/>
    <w:rsid w:val="00CA18A0"/>
    <w:rsid w:val="00CA22AE"/>
    <w:rsid w:val="00CA2331"/>
    <w:rsid w:val="00CA35CC"/>
    <w:rsid w:val="00CA43DD"/>
    <w:rsid w:val="00CA4E00"/>
    <w:rsid w:val="00CA5902"/>
    <w:rsid w:val="00CA6036"/>
    <w:rsid w:val="00CA75BE"/>
    <w:rsid w:val="00CB0444"/>
    <w:rsid w:val="00CB46CD"/>
    <w:rsid w:val="00CB6396"/>
    <w:rsid w:val="00CB6D99"/>
    <w:rsid w:val="00CB71CE"/>
    <w:rsid w:val="00CC04BC"/>
    <w:rsid w:val="00CC0D3E"/>
    <w:rsid w:val="00CC11B6"/>
    <w:rsid w:val="00CC1D02"/>
    <w:rsid w:val="00CC2117"/>
    <w:rsid w:val="00CC29B4"/>
    <w:rsid w:val="00CC348D"/>
    <w:rsid w:val="00CC3F7A"/>
    <w:rsid w:val="00CC5A70"/>
    <w:rsid w:val="00CC5EF0"/>
    <w:rsid w:val="00CC77D4"/>
    <w:rsid w:val="00CD0069"/>
    <w:rsid w:val="00CD0699"/>
    <w:rsid w:val="00CD133C"/>
    <w:rsid w:val="00CD1548"/>
    <w:rsid w:val="00CD2151"/>
    <w:rsid w:val="00CD22E5"/>
    <w:rsid w:val="00CD3A1E"/>
    <w:rsid w:val="00CD4751"/>
    <w:rsid w:val="00CD5D58"/>
    <w:rsid w:val="00CD63A1"/>
    <w:rsid w:val="00CD66A2"/>
    <w:rsid w:val="00CE0322"/>
    <w:rsid w:val="00CE24F0"/>
    <w:rsid w:val="00CE2702"/>
    <w:rsid w:val="00CE2AA5"/>
    <w:rsid w:val="00CE34ED"/>
    <w:rsid w:val="00CE5F9C"/>
    <w:rsid w:val="00CE6231"/>
    <w:rsid w:val="00CE690D"/>
    <w:rsid w:val="00CE6D63"/>
    <w:rsid w:val="00CE7160"/>
    <w:rsid w:val="00CE71D2"/>
    <w:rsid w:val="00CE73CB"/>
    <w:rsid w:val="00CF03D2"/>
    <w:rsid w:val="00CF2171"/>
    <w:rsid w:val="00CF37D5"/>
    <w:rsid w:val="00CF38DB"/>
    <w:rsid w:val="00CF3D87"/>
    <w:rsid w:val="00CF4383"/>
    <w:rsid w:val="00CF4E02"/>
    <w:rsid w:val="00CF4EBE"/>
    <w:rsid w:val="00CF599E"/>
    <w:rsid w:val="00CF640C"/>
    <w:rsid w:val="00CF6F53"/>
    <w:rsid w:val="00CF7B09"/>
    <w:rsid w:val="00CF7CD0"/>
    <w:rsid w:val="00D00486"/>
    <w:rsid w:val="00D00CFA"/>
    <w:rsid w:val="00D022BE"/>
    <w:rsid w:val="00D03D74"/>
    <w:rsid w:val="00D03E71"/>
    <w:rsid w:val="00D04145"/>
    <w:rsid w:val="00D0618D"/>
    <w:rsid w:val="00D06C5B"/>
    <w:rsid w:val="00D12AD7"/>
    <w:rsid w:val="00D13126"/>
    <w:rsid w:val="00D13890"/>
    <w:rsid w:val="00D145CD"/>
    <w:rsid w:val="00D156C7"/>
    <w:rsid w:val="00D1755F"/>
    <w:rsid w:val="00D17835"/>
    <w:rsid w:val="00D17DA9"/>
    <w:rsid w:val="00D209D7"/>
    <w:rsid w:val="00D21722"/>
    <w:rsid w:val="00D21856"/>
    <w:rsid w:val="00D22284"/>
    <w:rsid w:val="00D22BDE"/>
    <w:rsid w:val="00D22E85"/>
    <w:rsid w:val="00D23134"/>
    <w:rsid w:val="00D23D8C"/>
    <w:rsid w:val="00D2485D"/>
    <w:rsid w:val="00D2491F"/>
    <w:rsid w:val="00D268FD"/>
    <w:rsid w:val="00D27644"/>
    <w:rsid w:val="00D3019B"/>
    <w:rsid w:val="00D308F2"/>
    <w:rsid w:val="00D31D53"/>
    <w:rsid w:val="00D32D61"/>
    <w:rsid w:val="00D33577"/>
    <w:rsid w:val="00D338B8"/>
    <w:rsid w:val="00D33CF5"/>
    <w:rsid w:val="00D355C4"/>
    <w:rsid w:val="00D359BD"/>
    <w:rsid w:val="00D41475"/>
    <w:rsid w:val="00D41C66"/>
    <w:rsid w:val="00D41C69"/>
    <w:rsid w:val="00D41EF3"/>
    <w:rsid w:val="00D44446"/>
    <w:rsid w:val="00D44FB7"/>
    <w:rsid w:val="00D5014C"/>
    <w:rsid w:val="00D50FBC"/>
    <w:rsid w:val="00D512A5"/>
    <w:rsid w:val="00D5151F"/>
    <w:rsid w:val="00D5333B"/>
    <w:rsid w:val="00D53C48"/>
    <w:rsid w:val="00D55272"/>
    <w:rsid w:val="00D562F6"/>
    <w:rsid w:val="00D564E2"/>
    <w:rsid w:val="00D606E9"/>
    <w:rsid w:val="00D60715"/>
    <w:rsid w:val="00D60F21"/>
    <w:rsid w:val="00D617DB"/>
    <w:rsid w:val="00D61B7C"/>
    <w:rsid w:val="00D62830"/>
    <w:rsid w:val="00D635FA"/>
    <w:rsid w:val="00D63D78"/>
    <w:rsid w:val="00D651E2"/>
    <w:rsid w:val="00D71E14"/>
    <w:rsid w:val="00D72F2F"/>
    <w:rsid w:val="00D731C7"/>
    <w:rsid w:val="00D738C7"/>
    <w:rsid w:val="00D74210"/>
    <w:rsid w:val="00D74DC0"/>
    <w:rsid w:val="00D752FA"/>
    <w:rsid w:val="00D75B6E"/>
    <w:rsid w:val="00D7640C"/>
    <w:rsid w:val="00D76427"/>
    <w:rsid w:val="00D77637"/>
    <w:rsid w:val="00D845E2"/>
    <w:rsid w:val="00D84FCB"/>
    <w:rsid w:val="00D85C46"/>
    <w:rsid w:val="00D87DF3"/>
    <w:rsid w:val="00D90EDA"/>
    <w:rsid w:val="00D91567"/>
    <w:rsid w:val="00D940C5"/>
    <w:rsid w:val="00D95BE9"/>
    <w:rsid w:val="00D95BFC"/>
    <w:rsid w:val="00D96265"/>
    <w:rsid w:val="00D962A7"/>
    <w:rsid w:val="00D96434"/>
    <w:rsid w:val="00DA0BA5"/>
    <w:rsid w:val="00DA0CD7"/>
    <w:rsid w:val="00DA35CD"/>
    <w:rsid w:val="00DA389A"/>
    <w:rsid w:val="00DA639E"/>
    <w:rsid w:val="00DA730B"/>
    <w:rsid w:val="00DA75E6"/>
    <w:rsid w:val="00DB05B9"/>
    <w:rsid w:val="00DB1742"/>
    <w:rsid w:val="00DB1BA0"/>
    <w:rsid w:val="00DB248F"/>
    <w:rsid w:val="00DB30B1"/>
    <w:rsid w:val="00DB348F"/>
    <w:rsid w:val="00DB3688"/>
    <w:rsid w:val="00DB4A40"/>
    <w:rsid w:val="00DB5EFA"/>
    <w:rsid w:val="00DC03B6"/>
    <w:rsid w:val="00DC23EC"/>
    <w:rsid w:val="00DC307D"/>
    <w:rsid w:val="00DC4BC5"/>
    <w:rsid w:val="00DC4BE3"/>
    <w:rsid w:val="00DC53DE"/>
    <w:rsid w:val="00DC6863"/>
    <w:rsid w:val="00DC77DF"/>
    <w:rsid w:val="00DC7A41"/>
    <w:rsid w:val="00DC7FA1"/>
    <w:rsid w:val="00DD0A54"/>
    <w:rsid w:val="00DD13BB"/>
    <w:rsid w:val="00DD14DA"/>
    <w:rsid w:val="00DD1B4E"/>
    <w:rsid w:val="00DD20BC"/>
    <w:rsid w:val="00DD3344"/>
    <w:rsid w:val="00DD3671"/>
    <w:rsid w:val="00DD52F8"/>
    <w:rsid w:val="00DE017A"/>
    <w:rsid w:val="00DE0282"/>
    <w:rsid w:val="00DE3047"/>
    <w:rsid w:val="00DE3141"/>
    <w:rsid w:val="00DE322D"/>
    <w:rsid w:val="00DE432F"/>
    <w:rsid w:val="00DE6DF9"/>
    <w:rsid w:val="00DF218B"/>
    <w:rsid w:val="00DF4AEE"/>
    <w:rsid w:val="00DF4C4E"/>
    <w:rsid w:val="00DF4F10"/>
    <w:rsid w:val="00DF52CD"/>
    <w:rsid w:val="00E006B8"/>
    <w:rsid w:val="00E00BC3"/>
    <w:rsid w:val="00E0156B"/>
    <w:rsid w:val="00E02587"/>
    <w:rsid w:val="00E0453F"/>
    <w:rsid w:val="00E05989"/>
    <w:rsid w:val="00E05FC0"/>
    <w:rsid w:val="00E0658A"/>
    <w:rsid w:val="00E06EF3"/>
    <w:rsid w:val="00E11D39"/>
    <w:rsid w:val="00E12CF1"/>
    <w:rsid w:val="00E12D1F"/>
    <w:rsid w:val="00E132B2"/>
    <w:rsid w:val="00E158E0"/>
    <w:rsid w:val="00E171B4"/>
    <w:rsid w:val="00E1761E"/>
    <w:rsid w:val="00E17A18"/>
    <w:rsid w:val="00E17EEC"/>
    <w:rsid w:val="00E21B59"/>
    <w:rsid w:val="00E21D5D"/>
    <w:rsid w:val="00E22441"/>
    <w:rsid w:val="00E228DD"/>
    <w:rsid w:val="00E23302"/>
    <w:rsid w:val="00E24865"/>
    <w:rsid w:val="00E259F0"/>
    <w:rsid w:val="00E266AE"/>
    <w:rsid w:val="00E2687A"/>
    <w:rsid w:val="00E26F20"/>
    <w:rsid w:val="00E277A6"/>
    <w:rsid w:val="00E31CA1"/>
    <w:rsid w:val="00E31E3B"/>
    <w:rsid w:val="00E3278A"/>
    <w:rsid w:val="00E32F5C"/>
    <w:rsid w:val="00E35A29"/>
    <w:rsid w:val="00E35BAB"/>
    <w:rsid w:val="00E3756B"/>
    <w:rsid w:val="00E37D67"/>
    <w:rsid w:val="00E43B52"/>
    <w:rsid w:val="00E43D86"/>
    <w:rsid w:val="00E4476B"/>
    <w:rsid w:val="00E4616F"/>
    <w:rsid w:val="00E46B82"/>
    <w:rsid w:val="00E5083A"/>
    <w:rsid w:val="00E516FC"/>
    <w:rsid w:val="00E52F8E"/>
    <w:rsid w:val="00E53156"/>
    <w:rsid w:val="00E534FC"/>
    <w:rsid w:val="00E53AED"/>
    <w:rsid w:val="00E540E8"/>
    <w:rsid w:val="00E548C6"/>
    <w:rsid w:val="00E54FDE"/>
    <w:rsid w:val="00E560E4"/>
    <w:rsid w:val="00E570F0"/>
    <w:rsid w:val="00E57E79"/>
    <w:rsid w:val="00E60075"/>
    <w:rsid w:val="00E609FE"/>
    <w:rsid w:val="00E62397"/>
    <w:rsid w:val="00E6296A"/>
    <w:rsid w:val="00E62A22"/>
    <w:rsid w:val="00E63C97"/>
    <w:rsid w:val="00E64332"/>
    <w:rsid w:val="00E64992"/>
    <w:rsid w:val="00E66263"/>
    <w:rsid w:val="00E66BE8"/>
    <w:rsid w:val="00E67278"/>
    <w:rsid w:val="00E705D6"/>
    <w:rsid w:val="00E71380"/>
    <w:rsid w:val="00E71B51"/>
    <w:rsid w:val="00E7251E"/>
    <w:rsid w:val="00E72F90"/>
    <w:rsid w:val="00E737D3"/>
    <w:rsid w:val="00E73F8A"/>
    <w:rsid w:val="00E7429D"/>
    <w:rsid w:val="00E761E1"/>
    <w:rsid w:val="00E7744D"/>
    <w:rsid w:val="00E77EE6"/>
    <w:rsid w:val="00E8165D"/>
    <w:rsid w:val="00E8286F"/>
    <w:rsid w:val="00E829D7"/>
    <w:rsid w:val="00E83EC9"/>
    <w:rsid w:val="00E8571D"/>
    <w:rsid w:val="00E866D1"/>
    <w:rsid w:val="00E877FD"/>
    <w:rsid w:val="00E90637"/>
    <w:rsid w:val="00E92884"/>
    <w:rsid w:val="00E93346"/>
    <w:rsid w:val="00E93DBF"/>
    <w:rsid w:val="00E96729"/>
    <w:rsid w:val="00EA0B79"/>
    <w:rsid w:val="00EA2404"/>
    <w:rsid w:val="00EA3B94"/>
    <w:rsid w:val="00EA3CB2"/>
    <w:rsid w:val="00EA4801"/>
    <w:rsid w:val="00EA765A"/>
    <w:rsid w:val="00EB126A"/>
    <w:rsid w:val="00EB18A7"/>
    <w:rsid w:val="00EB3691"/>
    <w:rsid w:val="00EB42CA"/>
    <w:rsid w:val="00EB4790"/>
    <w:rsid w:val="00EB4AEC"/>
    <w:rsid w:val="00EB5B9E"/>
    <w:rsid w:val="00EB5FF2"/>
    <w:rsid w:val="00EB7B05"/>
    <w:rsid w:val="00EC07AE"/>
    <w:rsid w:val="00EC0B3E"/>
    <w:rsid w:val="00EC1241"/>
    <w:rsid w:val="00EC1260"/>
    <w:rsid w:val="00EC2274"/>
    <w:rsid w:val="00EC2A5E"/>
    <w:rsid w:val="00EC3FDE"/>
    <w:rsid w:val="00EC4CD4"/>
    <w:rsid w:val="00ED06A2"/>
    <w:rsid w:val="00ED4691"/>
    <w:rsid w:val="00ED46D0"/>
    <w:rsid w:val="00ED493F"/>
    <w:rsid w:val="00ED4A8C"/>
    <w:rsid w:val="00ED5501"/>
    <w:rsid w:val="00ED59A2"/>
    <w:rsid w:val="00ED5F47"/>
    <w:rsid w:val="00ED6344"/>
    <w:rsid w:val="00ED739E"/>
    <w:rsid w:val="00EE0431"/>
    <w:rsid w:val="00EE1912"/>
    <w:rsid w:val="00EE1E0A"/>
    <w:rsid w:val="00EE1E11"/>
    <w:rsid w:val="00EE57C8"/>
    <w:rsid w:val="00EE71F9"/>
    <w:rsid w:val="00EF078B"/>
    <w:rsid w:val="00EF13C6"/>
    <w:rsid w:val="00EF2371"/>
    <w:rsid w:val="00EF39E1"/>
    <w:rsid w:val="00EF5EFA"/>
    <w:rsid w:val="00EF6362"/>
    <w:rsid w:val="00F001C3"/>
    <w:rsid w:val="00F00DA6"/>
    <w:rsid w:val="00F02A94"/>
    <w:rsid w:val="00F044A1"/>
    <w:rsid w:val="00F051DD"/>
    <w:rsid w:val="00F05647"/>
    <w:rsid w:val="00F05F8A"/>
    <w:rsid w:val="00F060AF"/>
    <w:rsid w:val="00F064CA"/>
    <w:rsid w:val="00F07E36"/>
    <w:rsid w:val="00F10BB7"/>
    <w:rsid w:val="00F12DD4"/>
    <w:rsid w:val="00F13DEF"/>
    <w:rsid w:val="00F15160"/>
    <w:rsid w:val="00F15BED"/>
    <w:rsid w:val="00F15F44"/>
    <w:rsid w:val="00F16698"/>
    <w:rsid w:val="00F17573"/>
    <w:rsid w:val="00F20095"/>
    <w:rsid w:val="00F21734"/>
    <w:rsid w:val="00F22089"/>
    <w:rsid w:val="00F220E0"/>
    <w:rsid w:val="00F23674"/>
    <w:rsid w:val="00F248DA"/>
    <w:rsid w:val="00F255D1"/>
    <w:rsid w:val="00F26378"/>
    <w:rsid w:val="00F26514"/>
    <w:rsid w:val="00F26EDB"/>
    <w:rsid w:val="00F27935"/>
    <w:rsid w:val="00F312F5"/>
    <w:rsid w:val="00F32760"/>
    <w:rsid w:val="00F34CFF"/>
    <w:rsid w:val="00F34E9D"/>
    <w:rsid w:val="00F35A34"/>
    <w:rsid w:val="00F378AC"/>
    <w:rsid w:val="00F40CBD"/>
    <w:rsid w:val="00F40CCE"/>
    <w:rsid w:val="00F42079"/>
    <w:rsid w:val="00F43126"/>
    <w:rsid w:val="00F43262"/>
    <w:rsid w:val="00F44C45"/>
    <w:rsid w:val="00F45650"/>
    <w:rsid w:val="00F45E29"/>
    <w:rsid w:val="00F46166"/>
    <w:rsid w:val="00F47A4A"/>
    <w:rsid w:val="00F51E00"/>
    <w:rsid w:val="00F528C5"/>
    <w:rsid w:val="00F5434F"/>
    <w:rsid w:val="00F54605"/>
    <w:rsid w:val="00F5660E"/>
    <w:rsid w:val="00F56A4B"/>
    <w:rsid w:val="00F571FE"/>
    <w:rsid w:val="00F6121D"/>
    <w:rsid w:val="00F62850"/>
    <w:rsid w:val="00F62981"/>
    <w:rsid w:val="00F62D47"/>
    <w:rsid w:val="00F64F95"/>
    <w:rsid w:val="00F65743"/>
    <w:rsid w:val="00F66F9D"/>
    <w:rsid w:val="00F67D01"/>
    <w:rsid w:val="00F701CF"/>
    <w:rsid w:val="00F71CED"/>
    <w:rsid w:val="00F7239D"/>
    <w:rsid w:val="00F7310E"/>
    <w:rsid w:val="00F758BF"/>
    <w:rsid w:val="00F75F20"/>
    <w:rsid w:val="00F7622D"/>
    <w:rsid w:val="00F76788"/>
    <w:rsid w:val="00F76F09"/>
    <w:rsid w:val="00F76F8A"/>
    <w:rsid w:val="00F776DA"/>
    <w:rsid w:val="00F80117"/>
    <w:rsid w:val="00F80229"/>
    <w:rsid w:val="00F81A12"/>
    <w:rsid w:val="00F82712"/>
    <w:rsid w:val="00F82D35"/>
    <w:rsid w:val="00F832B9"/>
    <w:rsid w:val="00F85176"/>
    <w:rsid w:val="00F85D59"/>
    <w:rsid w:val="00F86081"/>
    <w:rsid w:val="00F868CB"/>
    <w:rsid w:val="00F87488"/>
    <w:rsid w:val="00F909BF"/>
    <w:rsid w:val="00F90B3E"/>
    <w:rsid w:val="00F91777"/>
    <w:rsid w:val="00F91A92"/>
    <w:rsid w:val="00F93D7D"/>
    <w:rsid w:val="00F948C8"/>
    <w:rsid w:val="00F96A9B"/>
    <w:rsid w:val="00FA0668"/>
    <w:rsid w:val="00FA0980"/>
    <w:rsid w:val="00FA1343"/>
    <w:rsid w:val="00FA2ED1"/>
    <w:rsid w:val="00FA454D"/>
    <w:rsid w:val="00FA4F18"/>
    <w:rsid w:val="00FA4F87"/>
    <w:rsid w:val="00FA6756"/>
    <w:rsid w:val="00FA67BC"/>
    <w:rsid w:val="00FA688F"/>
    <w:rsid w:val="00FA6C8D"/>
    <w:rsid w:val="00FB0E73"/>
    <w:rsid w:val="00FB188D"/>
    <w:rsid w:val="00FB2F7A"/>
    <w:rsid w:val="00FB457C"/>
    <w:rsid w:val="00FB51C4"/>
    <w:rsid w:val="00FB67D6"/>
    <w:rsid w:val="00FB7565"/>
    <w:rsid w:val="00FB7A55"/>
    <w:rsid w:val="00FC1097"/>
    <w:rsid w:val="00FC182A"/>
    <w:rsid w:val="00FC1B21"/>
    <w:rsid w:val="00FC21BF"/>
    <w:rsid w:val="00FC33B3"/>
    <w:rsid w:val="00FC4CDA"/>
    <w:rsid w:val="00FC5283"/>
    <w:rsid w:val="00FC5E75"/>
    <w:rsid w:val="00FC6129"/>
    <w:rsid w:val="00FC6817"/>
    <w:rsid w:val="00FC6C58"/>
    <w:rsid w:val="00FC6EEF"/>
    <w:rsid w:val="00FC79D4"/>
    <w:rsid w:val="00FD0D8C"/>
    <w:rsid w:val="00FD1AFF"/>
    <w:rsid w:val="00FD1C60"/>
    <w:rsid w:val="00FD1CD6"/>
    <w:rsid w:val="00FD2895"/>
    <w:rsid w:val="00FD309E"/>
    <w:rsid w:val="00FD53C3"/>
    <w:rsid w:val="00FD709A"/>
    <w:rsid w:val="00FD7423"/>
    <w:rsid w:val="00FD78F4"/>
    <w:rsid w:val="00FE0D08"/>
    <w:rsid w:val="00FE1217"/>
    <w:rsid w:val="00FE3A6C"/>
    <w:rsid w:val="00FE4957"/>
    <w:rsid w:val="00FE56AC"/>
    <w:rsid w:val="00FE57ED"/>
    <w:rsid w:val="00FE5AE6"/>
    <w:rsid w:val="00FF0750"/>
    <w:rsid w:val="00FF15EC"/>
    <w:rsid w:val="00FF1691"/>
    <w:rsid w:val="00FF2290"/>
    <w:rsid w:val="00FF2488"/>
    <w:rsid w:val="00FF299D"/>
    <w:rsid w:val="00FF4EAD"/>
    <w:rsid w:val="00FF576F"/>
    <w:rsid w:val="00FF7157"/>
    <w:rsid w:val="00FF7408"/>
    <w:rsid w:val="00FF78DB"/>
    <w:rsid w:val="00FF7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er" w:uiPriority="99"/>
    <w:lsdException w:name="caption" w:qFormat="1"/>
    <w:lsdException w:name="table of figures"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2677"/>
    <w:pPr>
      <w:spacing w:line="284" w:lineRule="atLeast"/>
    </w:pPr>
    <w:rPr>
      <w:rFonts w:ascii="Arial" w:hAnsi="Arial"/>
      <w:sz w:val="18"/>
    </w:rPr>
  </w:style>
  <w:style w:type="paragraph" w:styleId="Heading1">
    <w:name w:val="heading 1"/>
    <w:basedOn w:val="Normal"/>
    <w:next w:val="Normal"/>
    <w:qFormat/>
    <w:pPr>
      <w:keepNext/>
      <w:numPr>
        <w:numId w:val="11"/>
      </w:numPr>
      <w:tabs>
        <w:tab w:val="left" w:pos="0"/>
      </w:tabs>
      <w:outlineLvl w:val="0"/>
    </w:pPr>
    <w:rPr>
      <w:b/>
    </w:rPr>
  </w:style>
  <w:style w:type="paragraph" w:styleId="Heading2">
    <w:name w:val="heading 2"/>
    <w:basedOn w:val="Normal"/>
    <w:next w:val="Normal"/>
    <w:qFormat/>
    <w:pPr>
      <w:keepNext/>
      <w:numPr>
        <w:ilvl w:val="1"/>
        <w:numId w:val="11"/>
      </w:numPr>
      <w:tabs>
        <w:tab w:val="left" w:pos="0"/>
      </w:tabs>
      <w:outlineLvl w:val="1"/>
    </w:pPr>
    <w:rPr>
      <w:b/>
    </w:rPr>
  </w:style>
  <w:style w:type="paragraph" w:styleId="Heading3">
    <w:name w:val="heading 3"/>
    <w:basedOn w:val="Normal"/>
    <w:next w:val="Normal"/>
    <w:qFormat/>
    <w:pPr>
      <w:keepNext/>
      <w:numPr>
        <w:ilvl w:val="2"/>
        <w:numId w:val="11"/>
      </w:numPr>
      <w:tabs>
        <w:tab w:val="left" w:pos="0"/>
      </w:tabs>
      <w:outlineLvl w:val="2"/>
    </w:pPr>
    <w:rPr>
      <w:i/>
    </w:rPr>
  </w:style>
  <w:style w:type="paragraph" w:styleId="Heading4">
    <w:name w:val="heading 4"/>
    <w:basedOn w:val="Heading2"/>
    <w:next w:val="Normal"/>
    <w:qFormat/>
    <w:rsid w:val="002B1279"/>
    <w:pPr>
      <w:numPr>
        <w:ilvl w:val="0"/>
        <w:numId w:val="0"/>
      </w:numPr>
      <w:spacing w:before="240" w:after="60"/>
      <w:outlineLvl w:val="3"/>
    </w:pPr>
    <w:rPr>
      <w:bCs/>
      <w:sz w:val="24"/>
      <w:szCs w:val="28"/>
    </w:rPr>
  </w:style>
  <w:style w:type="paragraph" w:styleId="Heading5">
    <w:name w:val="heading 5"/>
    <w:basedOn w:val="Normal"/>
    <w:next w:val="Normal"/>
    <w:qFormat/>
    <w:pPr>
      <w:numPr>
        <w:ilvl w:val="4"/>
        <w:numId w:val="11"/>
      </w:numPr>
      <w:spacing w:before="240" w:after="60"/>
      <w:outlineLvl w:val="4"/>
    </w:pPr>
    <w:rPr>
      <w:b/>
      <w:bCs/>
      <w:i/>
      <w:iCs/>
      <w:sz w:val="26"/>
      <w:szCs w:val="26"/>
    </w:rPr>
  </w:style>
  <w:style w:type="paragraph" w:styleId="Heading6">
    <w:name w:val="heading 6"/>
    <w:basedOn w:val="Normal"/>
    <w:next w:val="Normal"/>
    <w:qFormat/>
    <w:pPr>
      <w:numPr>
        <w:ilvl w:val="5"/>
        <w:numId w:val="11"/>
      </w:num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11"/>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1"/>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styleId="BodyText">
    <w:name w:val="Body Text"/>
    <w:basedOn w:val="Normal"/>
    <w:pPr>
      <w:framePr w:h="10490" w:hRule="exact" w:hSpace="142" w:wrap="around" w:vAnchor="page" w:hAnchor="page" w:x="9609" w:y="5473"/>
    </w:pPr>
    <w:rPr>
      <w:sz w:val="15"/>
    </w:rPr>
  </w:style>
  <w:style w:type="paragraph" w:customStyle="1" w:styleId="ErasmusStandaard">
    <w:name w:val="Erasmus_Standaard"/>
    <w:basedOn w:val="Normal"/>
    <w:rPr>
      <w:sz w:val="19"/>
    </w:rPr>
  </w:style>
  <w:style w:type="paragraph" w:customStyle="1" w:styleId="ErasmusKopjesSmal">
    <w:name w:val="Erasmus_KopjesSmal"/>
    <w:basedOn w:val="ErasmusStandaard"/>
    <w:rPr>
      <w:rFonts w:ascii="Arial Narrow" w:hAnsi="Arial Narrow"/>
      <w:b/>
      <w:sz w:val="14"/>
    </w:rPr>
  </w:style>
  <w:style w:type="paragraph" w:customStyle="1" w:styleId="Erasmusvestiging">
    <w:name w:val="Erasmus_vestiging"/>
    <w:basedOn w:val="Heading3"/>
    <w:pPr>
      <w:framePr w:hSpace="142" w:wrap="around" w:vAnchor="page" w:hAnchor="page" w:x="8563" w:y="625"/>
    </w:pPr>
    <w:rPr>
      <w:b/>
      <w:sz w:val="20"/>
    </w:rPr>
  </w:style>
  <w:style w:type="paragraph" w:customStyle="1" w:styleId="ErasmusKopjeskop">
    <w:name w:val="Erasmus_Kopjeskop"/>
    <w:rPr>
      <w:rFonts w:ascii="Arial" w:hAnsi="Arial"/>
      <w:noProof/>
      <w:spacing w:val="-6"/>
      <w:sz w:val="15"/>
      <w:lang w:val="nl-NL"/>
    </w:rPr>
  </w:style>
  <w:style w:type="paragraph" w:customStyle="1" w:styleId="ErasmusOnderdeel">
    <w:name w:val="Erasmus_Onderdeel"/>
    <w:basedOn w:val="Header"/>
    <w:pPr>
      <w:framePr w:wrap="around" w:vAnchor="page" w:hAnchor="page" w:x="8563" w:y="681"/>
      <w:spacing w:line="210" w:lineRule="exact"/>
    </w:pPr>
    <w:rPr>
      <w:b/>
      <w:sz w:val="20"/>
    </w:rPr>
  </w:style>
  <w:style w:type="paragraph" w:customStyle="1" w:styleId="ErasmusAfdeling">
    <w:name w:val="Erasmus_Afdeling"/>
    <w:basedOn w:val="ErasmusOnderdeel"/>
    <w:pPr>
      <w:framePr w:wrap="around"/>
    </w:pPr>
    <w:rPr>
      <w:rFonts w:ascii="Arial Narrow" w:hAnsi="Arial Narrow"/>
      <w:sz w:val="15"/>
    </w:rPr>
  </w:style>
  <w:style w:type="paragraph" w:customStyle="1" w:styleId="ErasmusNotulen">
    <w:name w:val="Erasmus_Notulen"/>
    <w:basedOn w:val="Header"/>
    <w:pPr>
      <w:framePr w:hSpace="142" w:wrap="around" w:vAnchor="page" w:hAnchor="page" w:x="1458" w:y="608"/>
    </w:pPr>
    <w:rPr>
      <w:rFonts w:ascii="Arial Narrow" w:hAnsi="Arial Narrow"/>
      <w:snapToGrid w:val="0"/>
      <w:sz w:val="15"/>
      <w:lang w:eastAsia="nl-NL"/>
    </w:rPr>
  </w:style>
  <w:style w:type="paragraph" w:customStyle="1" w:styleId="ErasmusAgenda">
    <w:name w:val="Erasmus_Agenda"/>
    <w:basedOn w:val="Header"/>
    <w:pPr>
      <w:framePr w:hSpace="142" w:wrap="around" w:vAnchor="page" w:hAnchor="page" w:x="1458" w:y="608"/>
    </w:pPr>
    <w:rPr>
      <w:rFonts w:ascii="Arial Narrow" w:hAnsi="Arial Narrow"/>
      <w:snapToGrid w:val="0"/>
      <w:sz w:val="15"/>
      <w:lang w:eastAsia="nl-NL"/>
    </w:rPr>
  </w:style>
  <w:style w:type="paragraph" w:customStyle="1" w:styleId="Erasmusright">
    <w:name w:val="Erasmus_right"/>
    <w:basedOn w:val="Normal"/>
    <w:pPr>
      <w:framePr w:w="2013" w:h="10433" w:hRule="exact" w:hSpace="142" w:wrap="around" w:vAnchor="page" w:hAnchor="page" w:x="9612" w:y="5501"/>
      <w:spacing w:line="210" w:lineRule="atLeast"/>
    </w:pPr>
    <w:rPr>
      <w:b/>
      <w:spacing w:val="-6"/>
      <w:sz w:val="15"/>
    </w:rPr>
  </w:style>
  <w:style w:type="paragraph" w:customStyle="1" w:styleId="ErasmusSubafdeling">
    <w:name w:val="Erasmus_Subafdeling"/>
    <w:basedOn w:val="ErasmusAfdeling"/>
    <w:pPr>
      <w:framePr w:wrap="around"/>
    </w:pPr>
    <w:rPr>
      <w:b w:val="0"/>
    </w:rPr>
  </w:style>
  <w:style w:type="character" w:customStyle="1" w:styleId="ErasmusDatumStijl">
    <w:name w:val="Erasmus_DatumStijl"/>
    <w:rPr>
      <w:sz w:val="18"/>
    </w:rPr>
  </w:style>
  <w:style w:type="paragraph" w:customStyle="1" w:styleId="Erasmusonderdeel0">
    <w:name w:val="Erasmus_onderdeel"/>
    <w:basedOn w:val="Header"/>
    <w:pPr>
      <w:framePr w:wrap="auto" w:vAnchor="page" w:hAnchor="page" w:x="8563" w:y="681"/>
      <w:spacing w:line="210" w:lineRule="exact"/>
    </w:pPr>
    <w:rPr>
      <w:b/>
      <w:sz w:val="20"/>
      <w:lang w:eastAsia="nl-NL"/>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framePr w:hRule="auto" w:hSpace="0" w:wrap="auto" w:vAnchor="margin" w:hAnchor="text" w:xAlign="left" w:yAlign="inline"/>
      <w:spacing w:after="120"/>
      <w:ind w:firstLine="210"/>
    </w:pPr>
    <w:rPr>
      <w:sz w:val="18"/>
    </w:r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cs="Arial"/>
      <w:sz w:val="24"/>
      <w:szCs w:val="24"/>
    </w:rPr>
  </w:style>
  <w:style w:type="paragraph" w:styleId="EnvelopeReturn">
    <w:name w:val="envelope return"/>
    <w:basedOn w:val="Normal"/>
    <w:rPr>
      <w:rFonts w:cs="Arial"/>
      <w:sz w:val="20"/>
    </w:rPr>
  </w:style>
  <w:style w:type="character" w:styleId="FollowedHyperlink">
    <w:name w:val="FollowedHyperlink"/>
    <w:rPr>
      <w:color w:val="800080"/>
      <w:u w:val="single"/>
    </w:rPr>
  </w:style>
  <w:style w:type="character" w:styleId="FootnoteReference">
    <w:name w:val="footnote reference"/>
    <w:semiHidden/>
    <w:rPr>
      <w:vertAlign w:val="superscript"/>
    </w:rPr>
  </w:style>
  <w:style w:type="paragraph" w:styleId="FootnoteText">
    <w:name w:val="footnote text"/>
    <w:basedOn w:val="Normal"/>
    <w:semiHidden/>
    <w:rPr>
      <w:sz w:val="20"/>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sz w:val="20"/>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character" w:styleId="Hyperlink">
    <w:name w:val="Hyperlink"/>
    <w:uiPriority w:val="99"/>
    <w:rPr>
      <w:color w:val="0000FF"/>
      <w:u w:val="single"/>
    </w:rPr>
  </w:style>
  <w:style w:type="paragraph" w:styleId="Index1">
    <w:name w:val="index 1"/>
    <w:basedOn w:val="Normal"/>
    <w:next w:val="Normal"/>
    <w:autoRedefine/>
    <w:semiHidden/>
    <w:pPr>
      <w:ind w:left="180" w:hanging="180"/>
    </w:pPr>
  </w:style>
  <w:style w:type="paragraph" w:styleId="Index2">
    <w:name w:val="index 2"/>
    <w:basedOn w:val="Normal"/>
    <w:next w:val="Normal"/>
    <w:autoRedefine/>
    <w:semiHidden/>
    <w:pPr>
      <w:ind w:left="360" w:hanging="180"/>
    </w:pPr>
  </w:style>
  <w:style w:type="paragraph" w:styleId="Index3">
    <w:name w:val="index 3"/>
    <w:basedOn w:val="Normal"/>
    <w:next w:val="Normal"/>
    <w:autoRedefine/>
    <w:semiHidden/>
    <w:pPr>
      <w:ind w:left="540" w:hanging="180"/>
    </w:pPr>
  </w:style>
  <w:style w:type="paragraph" w:styleId="Index4">
    <w:name w:val="index 4"/>
    <w:basedOn w:val="Normal"/>
    <w:next w:val="Normal"/>
    <w:autoRedefine/>
    <w:semiHidden/>
    <w:pPr>
      <w:ind w:left="720" w:hanging="180"/>
    </w:pPr>
  </w:style>
  <w:style w:type="paragraph" w:styleId="Index5">
    <w:name w:val="index 5"/>
    <w:basedOn w:val="Normal"/>
    <w:next w:val="Normal"/>
    <w:autoRedefine/>
    <w:semiHidden/>
    <w:pPr>
      <w:ind w:left="900" w:hanging="180"/>
    </w:pPr>
  </w:style>
  <w:style w:type="paragraph" w:styleId="Index6">
    <w:name w:val="index 6"/>
    <w:basedOn w:val="Normal"/>
    <w:next w:val="Normal"/>
    <w:autoRedefine/>
    <w:semiHidden/>
    <w:pPr>
      <w:ind w:left="1080" w:hanging="180"/>
    </w:pPr>
  </w:style>
  <w:style w:type="paragraph" w:styleId="Index7">
    <w:name w:val="index 7"/>
    <w:basedOn w:val="Normal"/>
    <w:next w:val="Normal"/>
    <w:autoRedefine/>
    <w:semiHidden/>
    <w:pPr>
      <w:ind w:left="1260" w:hanging="180"/>
    </w:pPr>
  </w:style>
  <w:style w:type="paragraph" w:styleId="Index8">
    <w:name w:val="index 8"/>
    <w:basedOn w:val="Normal"/>
    <w:next w:val="Normal"/>
    <w:autoRedefine/>
    <w:semiHidden/>
    <w:pPr>
      <w:ind w:left="1440" w:hanging="180"/>
    </w:pPr>
  </w:style>
  <w:style w:type="paragraph" w:styleId="Index9">
    <w:name w:val="index 9"/>
    <w:basedOn w:val="Normal"/>
    <w:next w:val="Normal"/>
    <w:autoRedefine/>
    <w:semiHidden/>
    <w:pPr>
      <w:ind w:left="1620" w:hanging="180"/>
    </w:pPr>
  </w:style>
  <w:style w:type="paragraph" w:styleId="IndexHeading">
    <w:name w:val="index heading"/>
    <w:basedOn w:val="Normal"/>
    <w:next w:val="Index1"/>
    <w:semiHidden/>
    <w:rPr>
      <w:rFonts w:cs="Arial"/>
      <w:b/>
      <w:bCs/>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4" w:lineRule="atLeast"/>
    </w:pPr>
    <w:rPr>
      <w:rFonts w:ascii="Courier New" w:hAnsi="Courier New" w:cs="Courier New"/>
      <w:lang w:val="nl-NL"/>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uiPriority w:val="99"/>
    <w:rPr>
      <w:rFonts w:ascii="Times New Roman" w:hAnsi="Times New Roman"/>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cs="Arial"/>
      <w:sz w:val="24"/>
      <w:szCs w:val="24"/>
    </w:rPr>
  </w:style>
  <w:style w:type="paragraph" w:styleId="TableofAuthorities">
    <w:name w:val="table of authorities"/>
    <w:basedOn w:val="Normal"/>
    <w:next w:val="Normal"/>
    <w:semiHidden/>
    <w:pPr>
      <w:ind w:left="180" w:hanging="180"/>
    </w:pPr>
  </w:style>
  <w:style w:type="paragraph" w:styleId="TableofFigures">
    <w:name w:val="table of figures"/>
    <w:basedOn w:val="Normal"/>
    <w:next w:val="Normal"/>
    <w:uiPriority w:val="99"/>
    <w:pPr>
      <w:ind w:left="360" w:hanging="360"/>
    </w:pPr>
  </w:style>
  <w:style w:type="paragraph" w:styleId="Title">
    <w:name w:val="Title"/>
    <w:basedOn w:val="Normal"/>
    <w:qFormat/>
    <w:pPr>
      <w:spacing w:before="240" w:after="60"/>
      <w:jc w:val="center"/>
      <w:outlineLvl w:val="0"/>
    </w:pPr>
    <w:rPr>
      <w:rFonts w:cs="Arial"/>
      <w:b/>
      <w:bCs/>
      <w:kern w:val="28"/>
      <w:sz w:val="32"/>
      <w:szCs w:val="32"/>
    </w:rPr>
  </w:style>
  <w:style w:type="paragraph" w:styleId="TOAHeading">
    <w:name w:val="toa heading"/>
    <w:basedOn w:val="Normal"/>
    <w:next w:val="Normal"/>
    <w:semiHidden/>
    <w:pPr>
      <w:spacing w:before="120"/>
    </w:pPr>
    <w:rPr>
      <w:rFonts w:cs="Arial"/>
      <w:b/>
      <w:bCs/>
      <w:sz w:val="24"/>
      <w:szCs w:val="24"/>
    </w:rPr>
  </w:style>
  <w:style w:type="paragraph" w:styleId="TOC1">
    <w:name w:val="toc 1"/>
    <w:basedOn w:val="Normal"/>
    <w:next w:val="Normal"/>
    <w:autoRedefine/>
    <w:uiPriority w:val="39"/>
    <w:rsid w:val="000B7FA1"/>
    <w:pPr>
      <w:tabs>
        <w:tab w:val="right" w:leader="dot" w:pos="9016"/>
      </w:tabs>
      <w:ind w:left="284" w:hanging="284"/>
    </w:pPr>
    <w:rPr>
      <w:noProof/>
    </w:rPr>
  </w:style>
  <w:style w:type="paragraph" w:styleId="TOC2">
    <w:name w:val="toc 2"/>
    <w:basedOn w:val="Normal"/>
    <w:next w:val="Normal"/>
    <w:autoRedefine/>
    <w:uiPriority w:val="39"/>
    <w:rsid w:val="00B22677"/>
    <w:pPr>
      <w:tabs>
        <w:tab w:val="left" w:pos="851"/>
        <w:tab w:val="right" w:leader="dot" w:pos="9016"/>
      </w:tabs>
      <w:ind w:left="426"/>
    </w:pPr>
    <w:rPr>
      <w:noProof/>
    </w:rPr>
  </w:style>
  <w:style w:type="paragraph" w:styleId="TOC3">
    <w:name w:val="toc 3"/>
    <w:basedOn w:val="Normal"/>
    <w:next w:val="Normal"/>
    <w:autoRedefine/>
    <w:uiPriority w:val="39"/>
    <w:rsid w:val="000B7FA1"/>
    <w:pPr>
      <w:tabs>
        <w:tab w:val="right" w:leader="dot" w:pos="9016"/>
      </w:tabs>
      <w:ind w:left="1276" w:hanging="567"/>
    </w:pPr>
  </w:style>
  <w:style w:type="paragraph" w:styleId="TOC4">
    <w:name w:val="toc 4"/>
    <w:basedOn w:val="Normal"/>
    <w:next w:val="Normal"/>
    <w:autoRedefine/>
    <w:uiPriority w:val="39"/>
    <w:pPr>
      <w:ind w:left="540"/>
    </w:pPr>
  </w:style>
  <w:style w:type="paragraph" w:styleId="TOC5">
    <w:name w:val="toc 5"/>
    <w:basedOn w:val="Normal"/>
    <w:next w:val="Normal"/>
    <w:autoRedefine/>
    <w:semiHidden/>
    <w:pPr>
      <w:ind w:left="720"/>
    </w:pPr>
  </w:style>
  <w:style w:type="paragraph" w:styleId="TOC6">
    <w:name w:val="toc 6"/>
    <w:basedOn w:val="Normal"/>
    <w:next w:val="Normal"/>
    <w:autoRedefine/>
    <w:semiHidden/>
    <w:pPr>
      <w:ind w:left="900"/>
    </w:pPr>
  </w:style>
  <w:style w:type="paragraph" w:styleId="TOC7">
    <w:name w:val="toc 7"/>
    <w:basedOn w:val="Normal"/>
    <w:next w:val="Normal"/>
    <w:autoRedefine/>
    <w:semiHidden/>
    <w:pPr>
      <w:ind w:left="1080"/>
    </w:pPr>
  </w:style>
  <w:style w:type="paragraph" w:styleId="TOC8">
    <w:name w:val="toc 8"/>
    <w:basedOn w:val="Normal"/>
    <w:next w:val="Normal"/>
    <w:autoRedefine/>
    <w:semiHidden/>
    <w:pPr>
      <w:ind w:left="1260"/>
    </w:pPr>
  </w:style>
  <w:style w:type="paragraph" w:styleId="TOC9">
    <w:name w:val="toc 9"/>
    <w:basedOn w:val="Normal"/>
    <w:next w:val="Normal"/>
    <w:autoRedefine/>
    <w:semiHidden/>
    <w:pPr>
      <w:ind w:left="1440"/>
    </w:pPr>
  </w:style>
  <w:style w:type="table" w:styleId="TableGrid">
    <w:name w:val="Table Grid"/>
    <w:basedOn w:val="TableNormal"/>
    <w:rsid w:val="00C838D1"/>
    <w:pPr>
      <w:spacing w:line="284"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ArticleSection">
    <w:name w:val="Outline List 3"/>
    <w:basedOn w:val="NoList"/>
    <w:rsid w:val="00784254"/>
    <w:pPr>
      <w:numPr>
        <w:numId w:val="12"/>
      </w:numPr>
    </w:pPr>
  </w:style>
  <w:style w:type="paragraph" w:styleId="BalloonText">
    <w:name w:val="Balloon Text"/>
    <w:basedOn w:val="Normal"/>
    <w:semiHidden/>
    <w:rsid w:val="00C42BDE"/>
    <w:rPr>
      <w:rFonts w:ascii="Tahoma" w:hAnsi="Tahoma" w:cs="Tahoma"/>
      <w:sz w:val="16"/>
      <w:szCs w:val="16"/>
    </w:rPr>
  </w:style>
  <w:style w:type="paragraph" w:customStyle="1" w:styleId="Bullett">
    <w:name w:val="Bullett"/>
    <w:basedOn w:val="Normal"/>
    <w:link w:val="BullettChar"/>
    <w:rsid w:val="00003006"/>
    <w:pPr>
      <w:numPr>
        <w:numId w:val="13"/>
      </w:numPr>
      <w:spacing w:before="20" w:after="20" w:line="240" w:lineRule="auto"/>
      <w:ind w:left="284" w:hanging="284"/>
    </w:pPr>
    <w:rPr>
      <w:sz w:val="22"/>
      <w:lang w:val="en-GB"/>
    </w:rPr>
  </w:style>
  <w:style w:type="character" w:customStyle="1" w:styleId="BullettChar">
    <w:name w:val="Bullett Char"/>
    <w:link w:val="Bullett"/>
    <w:rsid w:val="00003006"/>
    <w:rPr>
      <w:rFonts w:ascii="Arial" w:hAnsi="Arial"/>
      <w:sz w:val="22"/>
      <w:lang w:val="en-GB"/>
    </w:rPr>
  </w:style>
  <w:style w:type="character" w:customStyle="1" w:styleId="FooterChar">
    <w:name w:val="Footer Char"/>
    <w:link w:val="Footer"/>
    <w:uiPriority w:val="99"/>
    <w:rsid w:val="00324908"/>
    <w:rPr>
      <w:rFonts w:ascii="Arial" w:hAnsi="Arial"/>
      <w:sz w:val="18"/>
      <w:lang w:val="en-US" w:eastAsia="en-US"/>
    </w:rPr>
  </w:style>
  <w:style w:type="paragraph" w:styleId="Revision">
    <w:name w:val="Revision"/>
    <w:hidden/>
    <w:uiPriority w:val="99"/>
    <w:semiHidden/>
    <w:rsid w:val="001D6386"/>
    <w:rPr>
      <w:rFonts w:ascii="Arial" w:hAnsi="Arial"/>
      <w:sz w:val="18"/>
    </w:rPr>
  </w:style>
  <w:style w:type="character" w:styleId="IntenseEmphasis">
    <w:name w:val="Intense Emphasis"/>
    <w:uiPriority w:val="21"/>
    <w:qFormat/>
    <w:rsid w:val="00D13890"/>
    <w:rPr>
      <w:b/>
      <w:bCs/>
      <w:i/>
      <w:iCs/>
      <w:color w:val="4F81BD"/>
    </w:rPr>
  </w:style>
  <w:style w:type="paragraph" w:styleId="CommentSubject">
    <w:name w:val="annotation subject"/>
    <w:basedOn w:val="CommentText"/>
    <w:next w:val="CommentText"/>
    <w:link w:val="CommentSubjectChar"/>
    <w:rsid w:val="00170683"/>
    <w:rPr>
      <w:b/>
      <w:bCs/>
    </w:rPr>
  </w:style>
  <w:style w:type="character" w:customStyle="1" w:styleId="CommentTextChar">
    <w:name w:val="Comment Text Char"/>
    <w:link w:val="CommentText"/>
    <w:semiHidden/>
    <w:rsid w:val="00170683"/>
    <w:rPr>
      <w:rFonts w:ascii="Arial" w:hAnsi="Arial"/>
      <w:lang w:val="en-US" w:eastAsia="en-US"/>
    </w:rPr>
  </w:style>
  <w:style w:type="character" w:customStyle="1" w:styleId="CommentSubjectChar">
    <w:name w:val="Comment Subject Char"/>
    <w:link w:val="CommentSubject"/>
    <w:rsid w:val="00170683"/>
    <w:rPr>
      <w:rFonts w:ascii="Arial" w:hAnsi="Arial"/>
      <w:b/>
      <w:bCs/>
      <w:lang w:val="en-US" w:eastAsia="en-US"/>
    </w:rPr>
  </w:style>
  <w:style w:type="character" w:customStyle="1" w:styleId="apple-converted-space">
    <w:name w:val="apple-converted-space"/>
    <w:rsid w:val="00421F40"/>
  </w:style>
  <w:style w:type="character" w:customStyle="1" w:styleId="highlight">
    <w:name w:val="highlight"/>
    <w:rsid w:val="00421F40"/>
  </w:style>
  <w:style w:type="paragraph" w:styleId="ListParagraph">
    <w:name w:val="List Paragraph"/>
    <w:basedOn w:val="Normal"/>
    <w:uiPriority w:val="34"/>
    <w:qFormat/>
    <w:rsid w:val="0069182B"/>
    <w:pPr>
      <w:ind w:left="720"/>
      <w:contextualSpacing/>
    </w:pPr>
  </w:style>
  <w:style w:type="character" w:styleId="PlaceholderText">
    <w:name w:val="Placeholder Text"/>
    <w:basedOn w:val="DefaultParagraphFont"/>
    <w:uiPriority w:val="99"/>
    <w:semiHidden/>
    <w:rsid w:val="000D247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er" w:uiPriority="99"/>
    <w:lsdException w:name="caption" w:qFormat="1"/>
    <w:lsdException w:name="table of figures"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2677"/>
    <w:pPr>
      <w:spacing w:line="284" w:lineRule="atLeast"/>
    </w:pPr>
    <w:rPr>
      <w:rFonts w:ascii="Arial" w:hAnsi="Arial"/>
      <w:sz w:val="18"/>
    </w:rPr>
  </w:style>
  <w:style w:type="paragraph" w:styleId="Heading1">
    <w:name w:val="heading 1"/>
    <w:basedOn w:val="Normal"/>
    <w:next w:val="Normal"/>
    <w:qFormat/>
    <w:pPr>
      <w:keepNext/>
      <w:numPr>
        <w:numId w:val="11"/>
      </w:numPr>
      <w:tabs>
        <w:tab w:val="left" w:pos="0"/>
      </w:tabs>
      <w:outlineLvl w:val="0"/>
    </w:pPr>
    <w:rPr>
      <w:b/>
    </w:rPr>
  </w:style>
  <w:style w:type="paragraph" w:styleId="Heading2">
    <w:name w:val="heading 2"/>
    <w:basedOn w:val="Normal"/>
    <w:next w:val="Normal"/>
    <w:qFormat/>
    <w:pPr>
      <w:keepNext/>
      <w:numPr>
        <w:ilvl w:val="1"/>
        <w:numId w:val="11"/>
      </w:numPr>
      <w:tabs>
        <w:tab w:val="left" w:pos="0"/>
      </w:tabs>
      <w:outlineLvl w:val="1"/>
    </w:pPr>
    <w:rPr>
      <w:b/>
    </w:rPr>
  </w:style>
  <w:style w:type="paragraph" w:styleId="Heading3">
    <w:name w:val="heading 3"/>
    <w:basedOn w:val="Normal"/>
    <w:next w:val="Normal"/>
    <w:qFormat/>
    <w:pPr>
      <w:keepNext/>
      <w:numPr>
        <w:ilvl w:val="2"/>
        <w:numId w:val="11"/>
      </w:numPr>
      <w:tabs>
        <w:tab w:val="left" w:pos="0"/>
      </w:tabs>
      <w:outlineLvl w:val="2"/>
    </w:pPr>
    <w:rPr>
      <w:i/>
    </w:rPr>
  </w:style>
  <w:style w:type="paragraph" w:styleId="Heading4">
    <w:name w:val="heading 4"/>
    <w:basedOn w:val="Heading2"/>
    <w:next w:val="Normal"/>
    <w:qFormat/>
    <w:rsid w:val="002B1279"/>
    <w:pPr>
      <w:numPr>
        <w:ilvl w:val="0"/>
        <w:numId w:val="0"/>
      </w:numPr>
      <w:spacing w:before="240" w:after="60"/>
      <w:outlineLvl w:val="3"/>
    </w:pPr>
    <w:rPr>
      <w:bCs/>
      <w:sz w:val="24"/>
      <w:szCs w:val="28"/>
    </w:rPr>
  </w:style>
  <w:style w:type="paragraph" w:styleId="Heading5">
    <w:name w:val="heading 5"/>
    <w:basedOn w:val="Normal"/>
    <w:next w:val="Normal"/>
    <w:qFormat/>
    <w:pPr>
      <w:numPr>
        <w:ilvl w:val="4"/>
        <w:numId w:val="11"/>
      </w:numPr>
      <w:spacing w:before="240" w:after="60"/>
      <w:outlineLvl w:val="4"/>
    </w:pPr>
    <w:rPr>
      <w:b/>
      <w:bCs/>
      <w:i/>
      <w:iCs/>
      <w:sz w:val="26"/>
      <w:szCs w:val="26"/>
    </w:rPr>
  </w:style>
  <w:style w:type="paragraph" w:styleId="Heading6">
    <w:name w:val="heading 6"/>
    <w:basedOn w:val="Normal"/>
    <w:next w:val="Normal"/>
    <w:qFormat/>
    <w:pPr>
      <w:numPr>
        <w:ilvl w:val="5"/>
        <w:numId w:val="11"/>
      </w:num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11"/>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1"/>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styleId="BodyText">
    <w:name w:val="Body Text"/>
    <w:basedOn w:val="Normal"/>
    <w:pPr>
      <w:framePr w:h="10490" w:hRule="exact" w:hSpace="142" w:wrap="around" w:vAnchor="page" w:hAnchor="page" w:x="9609" w:y="5473"/>
    </w:pPr>
    <w:rPr>
      <w:sz w:val="15"/>
    </w:rPr>
  </w:style>
  <w:style w:type="paragraph" w:customStyle="1" w:styleId="ErasmusStandaard">
    <w:name w:val="Erasmus_Standaard"/>
    <w:basedOn w:val="Normal"/>
    <w:rPr>
      <w:sz w:val="19"/>
    </w:rPr>
  </w:style>
  <w:style w:type="paragraph" w:customStyle="1" w:styleId="ErasmusKopjesSmal">
    <w:name w:val="Erasmus_KopjesSmal"/>
    <w:basedOn w:val="ErasmusStandaard"/>
    <w:rPr>
      <w:rFonts w:ascii="Arial Narrow" w:hAnsi="Arial Narrow"/>
      <w:b/>
      <w:sz w:val="14"/>
    </w:rPr>
  </w:style>
  <w:style w:type="paragraph" w:customStyle="1" w:styleId="Erasmusvestiging">
    <w:name w:val="Erasmus_vestiging"/>
    <w:basedOn w:val="Heading3"/>
    <w:pPr>
      <w:framePr w:hSpace="142" w:wrap="around" w:vAnchor="page" w:hAnchor="page" w:x="8563" w:y="625"/>
    </w:pPr>
    <w:rPr>
      <w:b/>
      <w:sz w:val="20"/>
    </w:rPr>
  </w:style>
  <w:style w:type="paragraph" w:customStyle="1" w:styleId="ErasmusKopjeskop">
    <w:name w:val="Erasmus_Kopjeskop"/>
    <w:rPr>
      <w:rFonts w:ascii="Arial" w:hAnsi="Arial"/>
      <w:noProof/>
      <w:spacing w:val="-6"/>
      <w:sz w:val="15"/>
      <w:lang w:val="nl-NL"/>
    </w:rPr>
  </w:style>
  <w:style w:type="paragraph" w:customStyle="1" w:styleId="ErasmusOnderdeel">
    <w:name w:val="Erasmus_Onderdeel"/>
    <w:basedOn w:val="Header"/>
    <w:pPr>
      <w:framePr w:wrap="around" w:vAnchor="page" w:hAnchor="page" w:x="8563" w:y="681"/>
      <w:spacing w:line="210" w:lineRule="exact"/>
    </w:pPr>
    <w:rPr>
      <w:b/>
      <w:sz w:val="20"/>
    </w:rPr>
  </w:style>
  <w:style w:type="paragraph" w:customStyle="1" w:styleId="ErasmusAfdeling">
    <w:name w:val="Erasmus_Afdeling"/>
    <w:basedOn w:val="ErasmusOnderdeel"/>
    <w:pPr>
      <w:framePr w:wrap="around"/>
    </w:pPr>
    <w:rPr>
      <w:rFonts w:ascii="Arial Narrow" w:hAnsi="Arial Narrow"/>
      <w:sz w:val="15"/>
    </w:rPr>
  </w:style>
  <w:style w:type="paragraph" w:customStyle="1" w:styleId="ErasmusNotulen">
    <w:name w:val="Erasmus_Notulen"/>
    <w:basedOn w:val="Header"/>
    <w:pPr>
      <w:framePr w:hSpace="142" w:wrap="around" w:vAnchor="page" w:hAnchor="page" w:x="1458" w:y="608"/>
    </w:pPr>
    <w:rPr>
      <w:rFonts w:ascii="Arial Narrow" w:hAnsi="Arial Narrow"/>
      <w:snapToGrid w:val="0"/>
      <w:sz w:val="15"/>
      <w:lang w:eastAsia="nl-NL"/>
    </w:rPr>
  </w:style>
  <w:style w:type="paragraph" w:customStyle="1" w:styleId="ErasmusAgenda">
    <w:name w:val="Erasmus_Agenda"/>
    <w:basedOn w:val="Header"/>
    <w:pPr>
      <w:framePr w:hSpace="142" w:wrap="around" w:vAnchor="page" w:hAnchor="page" w:x="1458" w:y="608"/>
    </w:pPr>
    <w:rPr>
      <w:rFonts w:ascii="Arial Narrow" w:hAnsi="Arial Narrow"/>
      <w:snapToGrid w:val="0"/>
      <w:sz w:val="15"/>
      <w:lang w:eastAsia="nl-NL"/>
    </w:rPr>
  </w:style>
  <w:style w:type="paragraph" w:customStyle="1" w:styleId="Erasmusright">
    <w:name w:val="Erasmus_right"/>
    <w:basedOn w:val="Normal"/>
    <w:pPr>
      <w:framePr w:w="2013" w:h="10433" w:hRule="exact" w:hSpace="142" w:wrap="around" w:vAnchor="page" w:hAnchor="page" w:x="9612" w:y="5501"/>
      <w:spacing w:line="210" w:lineRule="atLeast"/>
    </w:pPr>
    <w:rPr>
      <w:b/>
      <w:spacing w:val="-6"/>
      <w:sz w:val="15"/>
    </w:rPr>
  </w:style>
  <w:style w:type="paragraph" w:customStyle="1" w:styleId="ErasmusSubafdeling">
    <w:name w:val="Erasmus_Subafdeling"/>
    <w:basedOn w:val="ErasmusAfdeling"/>
    <w:pPr>
      <w:framePr w:wrap="around"/>
    </w:pPr>
    <w:rPr>
      <w:b w:val="0"/>
    </w:rPr>
  </w:style>
  <w:style w:type="character" w:customStyle="1" w:styleId="ErasmusDatumStijl">
    <w:name w:val="Erasmus_DatumStijl"/>
    <w:rPr>
      <w:sz w:val="18"/>
    </w:rPr>
  </w:style>
  <w:style w:type="paragraph" w:customStyle="1" w:styleId="Erasmusonderdeel0">
    <w:name w:val="Erasmus_onderdeel"/>
    <w:basedOn w:val="Header"/>
    <w:pPr>
      <w:framePr w:wrap="auto" w:vAnchor="page" w:hAnchor="page" w:x="8563" w:y="681"/>
      <w:spacing w:line="210" w:lineRule="exact"/>
    </w:pPr>
    <w:rPr>
      <w:b/>
      <w:sz w:val="20"/>
      <w:lang w:eastAsia="nl-NL"/>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framePr w:hRule="auto" w:hSpace="0" w:wrap="auto" w:vAnchor="margin" w:hAnchor="text" w:xAlign="left" w:yAlign="inline"/>
      <w:spacing w:after="120"/>
      <w:ind w:firstLine="210"/>
    </w:pPr>
    <w:rPr>
      <w:sz w:val="18"/>
    </w:r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cs="Arial"/>
      <w:sz w:val="24"/>
      <w:szCs w:val="24"/>
    </w:rPr>
  </w:style>
  <w:style w:type="paragraph" w:styleId="EnvelopeReturn">
    <w:name w:val="envelope return"/>
    <w:basedOn w:val="Normal"/>
    <w:rPr>
      <w:rFonts w:cs="Arial"/>
      <w:sz w:val="20"/>
    </w:rPr>
  </w:style>
  <w:style w:type="character" w:styleId="FollowedHyperlink">
    <w:name w:val="FollowedHyperlink"/>
    <w:rPr>
      <w:color w:val="800080"/>
      <w:u w:val="single"/>
    </w:rPr>
  </w:style>
  <w:style w:type="character" w:styleId="FootnoteReference">
    <w:name w:val="footnote reference"/>
    <w:semiHidden/>
    <w:rPr>
      <w:vertAlign w:val="superscript"/>
    </w:rPr>
  </w:style>
  <w:style w:type="paragraph" w:styleId="FootnoteText">
    <w:name w:val="footnote text"/>
    <w:basedOn w:val="Normal"/>
    <w:semiHidden/>
    <w:rPr>
      <w:sz w:val="20"/>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sz w:val="20"/>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character" w:styleId="Hyperlink">
    <w:name w:val="Hyperlink"/>
    <w:uiPriority w:val="99"/>
    <w:rPr>
      <w:color w:val="0000FF"/>
      <w:u w:val="single"/>
    </w:rPr>
  </w:style>
  <w:style w:type="paragraph" w:styleId="Index1">
    <w:name w:val="index 1"/>
    <w:basedOn w:val="Normal"/>
    <w:next w:val="Normal"/>
    <w:autoRedefine/>
    <w:semiHidden/>
    <w:pPr>
      <w:ind w:left="180" w:hanging="180"/>
    </w:pPr>
  </w:style>
  <w:style w:type="paragraph" w:styleId="Index2">
    <w:name w:val="index 2"/>
    <w:basedOn w:val="Normal"/>
    <w:next w:val="Normal"/>
    <w:autoRedefine/>
    <w:semiHidden/>
    <w:pPr>
      <w:ind w:left="360" w:hanging="180"/>
    </w:pPr>
  </w:style>
  <w:style w:type="paragraph" w:styleId="Index3">
    <w:name w:val="index 3"/>
    <w:basedOn w:val="Normal"/>
    <w:next w:val="Normal"/>
    <w:autoRedefine/>
    <w:semiHidden/>
    <w:pPr>
      <w:ind w:left="540" w:hanging="180"/>
    </w:pPr>
  </w:style>
  <w:style w:type="paragraph" w:styleId="Index4">
    <w:name w:val="index 4"/>
    <w:basedOn w:val="Normal"/>
    <w:next w:val="Normal"/>
    <w:autoRedefine/>
    <w:semiHidden/>
    <w:pPr>
      <w:ind w:left="720" w:hanging="180"/>
    </w:pPr>
  </w:style>
  <w:style w:type="paragraph" w:styleId="Index5">
    <w:name w:val="index 5"/>
    <w:basedOn w:val="Normal"/>
    <w:next w:val="Normal"/>
    <w:autoRedefine/>
    <w:semiHidden/>
    <w:pPr>
      <w:ind w:left="900" w:hanging="180"/>
    </w:pPr>
  </w:style>
  <w:style w:type="paragraph" w:styleId="Index6">
    <w:name w:val="index 6"/>
    <w:basedOn w:val="Normal"/>
    <w:next w:val="Normal"/>
    <w:autoRedefine/>
    <w:semiHidden/>
    <w:pPr>
      <w:ind w:left="1080" w:hanging="180"/>
    </w:pPr>
  </w:style>
  <w:style w:type="paragraph" w:styleId="Index7">
    <w:name w:val="index 7"/>
    <w:basedOn w:val="Normal"/>
    <w:next w:val="Normal"/>
    <w:autoRedefine/>
    <w:semiHidden/>
    <w:pPr>
      <w:ind w:left="1260" w:hanging="180"/>
    </w:pPr>
  </w:style>
  <w:style w:type="paragraph" w:styleId="Index8">
    <w:name w:val="index 8"/>
    <w:basedOn w:val="Normal"/>
    <w:next w:val="Normal"/>
    <w:autoRedefine/>
    <w:semiHidden/>
    <w:pPr>
      <w:ind w:left="1440" w:hanging="180"/>
    </w:pPr>
  </w:style>
  <w:style w:type="paragraph" w:styleId="Index9">
    <w:name w:val="index 9"/>
    <w:basedOn w:val="Normal"/>
    <w:next w:val="Normal"/>
    <w:autoRedefine/>
    <w:semiHidden/>
    <w:pPr>
      <w:ind w:left="1620" w:hanging="180"/>
    </w:pPr>
  </w:style>
  <w:style w:type="paragraph" w:styleId="IndexHeading">
    <w:name w:val="index heading"/>
    <w:basedOn w:val="Normal"/>
    <w:next w:val="Index1"/>
    <w:semiHidden/>
    <w:rPr>
      <w:rFonts w:cs="Arial"/>
      <w:b/>
      <w:bCs/>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4" w:lineRule="atLeast"/>
    </w:pPr>
    <w:rPr>
      <w:rFonts w:ascii="Courier New" w:hAnsi="Courier New" w:cs="Courier New"/>
      <w:lang w:val="nl-NL"/>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uiPriority w:val="99"/>
    <w:rPr>
      <w:rFonts w:ascii="Times New Roman" w:hAnsi="Times New Roman"/>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cs="Arial"/>
      <w:sz w:val="24"/>
      <w:szCs w:val="24"/>
    </w:rPr>
  </w:style>
  <w:style w:type="paragraph" w:styleId="TableofAuthorities">
    <w:name w:val="table of authorities"/>
    <w:basedOn w:val="Normal"/>
    <w:next w:val="Normal"/>
    <w:semiHidden/>
    <w:pPr>
      <w:ind w:left="180" w:hanging="180"/>
    </w:pPr>
  </w:style>
  <w:style w:type="paragraph" w:styleId="TableofFigures">
    <w:name w:val="table of figures"/>
    <w:basedOn w:val="Normal"/>
    <w:next w:val="Normal"/>
    <w:uiPriority w:val="99"/>
    <w:pPr>
      <w:ind w:left="360" w:hanging="360"/>
    </w:pPr>
  </w:style>
  <w:style w:type="paragraph" w:styleId="Title">
    <w:name w:val="Title"/>
    <w:basedOn w:val="Normal"/>
    <w:qFormat/>
    <w:pPr>
      <w:spacing w:before="240" w:after="60"/>
      <w:jc w:val="center"/>
      <w:outlineLvl w:val="0"/>
    </w:pPr>
    <w:rPr>
      <w:rFonts w:cs="Arial"/>
      <w:b/>
      <w:bCs/>
      <w:kern w:val="28"/>
      <w:sz w:val="32"/>
      <w:szCs w:val="32"/>
    </w:rPr>
  </w:style>
  <w:style w:type="paragraph" w:styleId="TOAHeading">
    <w:name w:val="toa heading"/>
    <w:basedOn w:val="Normal"/>
    <w:next w:val="Normal"/>
    <w:semiHidden/>
    <w:pPr>
      <w:spacing w:before="120"/>
    </w:pPr>
    <w:rPr>
      <w:rFonts w:cs="Arial"/>
      <w:b/>
      <w:bCs/>
      <w:sz w:val="24"/>
      <w:szCs w:val="24"/>
    </w:rPr>
  </w:style>
  <w:style w:type="paragraph" w:styleId="TOC1">
    <w:name w:val="toc 1"/>
    <w:basedOn w:val="Normal"/>
    <w:next w:val="Normal"/>
    <w:autoRedefine/>
    <w:uiPriority w:val="39"/>
    <w:rsid w:val="000B7FA1"/>
    <w:pPr>
      <w:tabs>
        <w:tab w:val="right" w:leader="dot" w:pos="9016"/>
      </w:tabs>
      <w:ind w:left="284" w:hanging="284"/>
    </w:pPr>
    <w:rPr>
      <w:noProof/>
    </w:rPr>
  </w:style>
  <w:style w:type="paragraph" w:styleId="TOC2">
    <w:name w:val="toc 2"/>
    <w:basedOn w:val="Normal"/>
    <w:next w:val="Normal"/>
    <w:autoRedefine/>
    <w:uiPriority w:val="39"/>
    <w:rsid w:val="00B22677"/>
    <w:pPr>
      <w:tabs>
        <w:tab w:val="left" w:pos="851"/>
        <w:tab w:val="right" w:leader="dot" w:pos="9016"/>
      </w:tabs>
      <w:ind w:left="426"/>
    </w:pPr>
    <w:rPr>
      <w:noProof/>
    </w:rPr>
  </w:style>
  <w:style w:type="paragraph" w:styleId="TOC3">
    <w:name w:val="toc 3"/>
    <w:basedOn w:val="Normal"/>
    <w:next w:val="Normal"/>
    <w:autoRedefine/>
    <w:uiPriority w:val="39"/>
    <w:rsid w:val="000B7FA1"/>
    <w:pPr>
      <w:tabs>
        <w:tab w:val="right" w:leader="dot" w:pos="9016"/>
      </w:tabs>
      <w:ind w:left="1276" w:hanging="567"/>
    </w:pPr>
  </w:style>
  <w:style w:type="paragraph" w:styleId="TOC4">
    <w:name w:val="toc 4"/>
    <w:basedOn w:val="Normal"/>
    <w:next w:val="Normal"/>
    <w:autoRedefine/>
    <w:uiPriority w:val="39"/>
    <w:pPr>
      <w:ind w:left="540"/>
    </w:pPr>
  </w:style>
  <w:style w:type="paragraph" w:styleId="TOC5">
    <w:name w:val="toc 5"/>
    <w:basedOn w:val="Normal"/>
    <w:next w:val="Normal"/>
    <w:autoRedefine/>
    <w:semiHidden/>
    <w:pPr>
      <w:ind w:left="720"/>
    </w:pPr>
  </w:style>
  <w:style w:type="paragraph" w:styleId="TOC6">
    <w:name w:val="toc 6"/>
    <w:basedOn w:val="Normal"/>
    <w:next w:val="Normal"/>
    <w:autoRedefine/>
    <w:semiHidden/>
    <w:pPr>
      <w:ind w:left="900"/>
    </w:pPr>
  </w:style>
  <w:style w:type="paragraph" w:styleId="TOC7">
    <w:name w:val="toc 7"/>
    <w:basedOn w:val="Normal"/>
    <w:next w:val="Normal"/>
    <w:autoRedefine/>
    <w:semiHidden/>
    <w:pPr>
      <w:ind w:left="1080"/>
    </w:pPr>
  </w:style>
  <w:style w:type="paragraph" w:styleId="TOC8">
    <w:name w:val="toc 8"/>
    <w:basedOn w:val="Normal"/>
    <w:next w:val="Normal"/>
    <w:autoRedefine/>
    <w:semiHidden/>
    <w:pPr>
      <w:ind w:left="1260"/>
    </w:pPr>
  </w:style>
  <w:style w:type="paragraph" w:styleId="TOC9">
    <w:name w:val="toc 9"/>
    <w:basedOn w:val="Normal"/>
    <w:next w:val="Normal"/>
    <w:autoRedefine/>
    <w:semiHidden/>
    <w:pPr>
      <w:ind w:left="1440"/>
    </w:pPr>
  </w:style>
  <w:style w:type="table" w:styleId="TableGrid">
    <w:name w:val="Table Grid"/>
    <w:basedOn w:val="TableNormal"/>
    <w:rsid w:val="00C838D1"/>
    <w:pPr>
      <w:spacing w:line="284"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ArticleSection">
    <w:name w:val="Outline List 3"/>
    <w:basedOn w:val="NoList"/>
    <w:rsid w:val="00784254"/>
    <w:pPr>
      <w:numPr>
        <w:numId w:val="12"/>
      </w:numPr>
    </w:pPr>
  </w:style>
  <w:style w:type="paragraph" w:styleId="BalloonText">
    <w:name w:val="Balloon Text"/>
    <w:basedOn w:val="Normal"/>
    <w:semiHidden/>
    <w:rsid w:val="00C42BDE"/>
    <w:rPr>
      <w:rFonts w:ascii="Tahoma" w:hAnsi="Tahoma" w:cs="Tahoma"/>
      <w:sz w:val="16"/>
      <w:szCs w:val="16"/>
    </w:rPr>
  </w:style>
  <w:style w:type="paragraph" w:customStyle="1" w:styleId="Bullett">
    <w:name w:val="Bullett"/>
    <w:basedOn w:val="Normal"/>
    <w:link w:val="BullettChar"/>
    <w:rsid w:val="00003006"/>
    <w:pPr>
      <w:numPr>
        <w:numId w:val="13"/>
      </w:numPr>
      <w:spacing w:before="20" w:after="20" w:line="240" w:lineRule="auto"/>
      <w:ind w:left="284" w:hanging="284"/>
    </w:pPr>
    <w:rPr>
      <w:sz w:val="22"/>
      <w:lang w:val="en-GB"/>
    </w:rPr>
  </w:style>
  <w:style w:type="character" w:customStyle="1" w:styleId="BullettChar">
    <w:name w:val="Bullett Char"/>
    <w:link w:val="Bullett"/>
    <w:rsid w:val="00003006"/>
    <w:rPr>
      <w:rFonts w:ascii="Arial" w:hAnsi="Arial"/>
      <w:sz w:val="22"/>
      <w:lang w:val="en-GB"/>
    </w:rPr>
  </w:style>
  <w:style w:type="character" w:customStyle="1" w:styleId="FooterChar">
    <w:name w:val="Footer Char"/>
    <w:link w:val="Footer"/>
    <w:uiPriority w:val="99"/>
    <w:rsid w:val="00324908"/>
    <w:rPr>
      <w:rFonts w:ascii="Arial" w:hAnsi="Arial"/>
      <w:sz w:val="18"/>
      <w:lang w:val="en-US" w:eastAsia="en-US"/>
    </w:rPr>
  </w:style>
  <w:style w:type="paragraph" w:styleId="Revision">
    <w:name w:val="Revision"/>
    <w:hidden/>
    <w:uiPriority w:val="99"/>
    <w:semiHidden/>
    <w:rsid w:val="001D6386"/>
    <w:rPr>
      <w:rFonts w:ascii="Arial" w:hAnsi="Arial"/>
      <w:sz w:val="18"/>
    </w:rPr>
  </w:style>
  <w:style w:type="character" w:styleId="IntenseEmphasis">
    <w:name w:val="Intense Emphasis"/>
    <w:uiPriority w:val="21"/>
    <w:qFormat/>
    <w:rsid w:val="00D13890"/>
    <w:rPr>
      <w:b/>
      <w:bCs/>
      <w:i/>
      <w:iCs/>
      <w:color w:val="4F81BD"/>
    </w:rPr>
  </w:style>
  <w:style w:type="paragraph" w:styleId="CommentSubject">
    <w:name w:val="annotation subject"/>
    <w:basedOn w:val="CommentText"/>
    <w:next w:val="CommentText"/>
    <w:link w:val="CommentSubjectChar"/>
    <w:rsid w:val="00170683"/>
    <w:rPr>
      <w:b/>
      <w:bCs/>
    </w:rPr>
  </w:style>
  <w:style w:type="character" w:customStyle="1" w:styleId="CommentTextChar">
    <w:name w:val="Comment Text Char"/>
    <w:link w:val="CommentText"/>
    <w:semiHidden/>
    <w:rsid w:val="00170683"/>
    <w:rPr>
      <w:rFonts w:ascii="Arial" w:hAnsi="Arial"/>
      <w:lang w:val="en-US" w:eastAsia="en-US"/>
    </w:rPr>
  </w:style>
  <w:style w:type="character" w:customStyle="1" w:styleId="CommentSubjectChar">
    <w:name w:val="Comment Subject Char"/>
    <w:link w:val="CommentSubject"/>
    <w:rsid w:val="00170683"/>
    <w:rPr>
      <w:rFonts w:ascii="Arial" w:hAnsi="Arial"/>
      <w:b/>
      <w:bCs/>
      <w:lang w:val="en-US" w:eastAsia="en-US"/>
    </w:rPr>
  </w:style>
  <w:style w:type="character" w:customStyle="1" w:styleId="apple-converted-space">
    <w:name w:val="apple-converted-space"/>
    <w:rsid w:val="00421F40"/>
  </w:style>
  <w:style w:type="character" w:customStyle="1" w:styleId="highlight">
    <w:name w:val="highlight"/>
    <w:rsid w:val="00421F40"/>
  </w:style>
  <w:style w:type="paragraph" w:styleId="ListParagraph">
    <w:name w:val="List Paragraph"/>
    <w:basedOn w:val="Normal"/>
    <w:uiPriority w:val="34"/>
    <w:qFormat/>
    <w:rsid w:val="0069182B"/>
    <w:pPr>
      <w:ind w:left="720"/>
      <w:contextualSpacing/>
    </w:pPr>
  </w:style>
  <w:style w:type="character" w:styleId="PlaceholderText">
    <w:name w:val="Placeholder Text"/>
    <w:basedOn w:val="DefaultParagraphFont"/>
    <w:uiPriority w:val="99"/>
    <w:semiHidden/>
    <w:rsid w:val="000D24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63752">
      <w:bodyDiv w:val="1"/>
      <w:marLeft w:val="0"/>
      <w:marRight w:val="0"/>
      <w:marTop w:val="0"/>
      <w:marBottom w:val="0"/>
      <w:divBdr>
        <w:top w:val="none" w:sz="0" w:space="0" w:color="auto"/>
        <w:left w:val="none" w:sz="0" w:space="0" w:color="auto"/>
        <w:bottom w:val="none" w:sz="0" w:space="0" w:color="auto"/>
        <w:right w:val="none" w:sz="0" w:space="0" w:color="auto"/>
      </w:divBdr>
    </w:div>
    <w:div w:id="243759076">
      <w:bodyDiv w:val="1"/>
      <w:marLeft w:val="0"/>
      <w:marRight w:val="0"/>
      <w:marTop w:val="0"/>
      <w:marBottom w:val="0"/>
      <w:divBdr>
        <w:top w:val="none" w:sz="0" w:space="0" w:color="auto"/>
        <w:left w:val="none" w:sz="0" w:space="0" w:color="auto"/>
        <w:bottom w:val="none" w:sz="0" w:space="0" w:color="auto"/>
        <w:right w:val="none" w:sz="0" w:space="0" w:color="auto"/>
      </w:divBdr>
    </w:div>
    <w:div w:id="354843153">
      <w:bodyDiv w:val="1"/>
      <w:marLeft w:val="0"/>
      <w:marRight w:val="0"/>
      <w:marTop w:val="0"/>
      <w:marBottom w:val="0"/>
      <w:divBdr>
        <w:top w:val="none" w:sz="0" w:space="0" w:color="auto"/>
        <w:left w:val="none" w:sz="0" w:space="0" w:color="auto"/>
        <w:bottom w:val="none" w:sz="0" w:space="0" w:color="auto"/>
        <w:right w:val="none" w:sz="0" w:space="0" w:color="auto"/>
      </w:divBdr>
    </w:div>
    <w:div w:id="367726149">
      <w:bodyDiv w:val="1"/>
      <w:marLeft w:val="0"/>
      <w:marRight w:val="0"/>
      <w:marTop w:val="0"/>
      <w:marBottom w:val="0"/>
      <w:divBdr>
        <w:top w:val="none" w:sz="0" w:space="0" w:color="auto"/>
        <w:left w:val="none" w:sz="0" w:space="0" w:color="auto"/>
        <w:bottom w:val="none" w:sz="0" w:space="0" w:color="auto"/>
        <w:right w:val="none" w:sz="0" w:space="0" w:color="auto"/>
      </w:divBdr>
    </w:div>
    <w:div w:id="382171806">
      <w:bodyDiv w:val="1"/>
      <w:marLeft w:val="0"/>
      <w:marRight w:val="0"/>
      <w:marTop w:val="0"/>
      <w:marBottom w:val="0"/>
      <w:divBdr>
        <w:top w:val="none" w:sz="0" w:space="0" w:color="auto"/>
        <w:left w:val="none" w:sz="0" w:space="0" w:color="auto"/>
        <w:bottom w:val="none" w:sz="0" w:space="0" w:color="auto"/>
        <w:right w:val="none" w:sz="0" w:space="0" w:color="auto"/>
      </w:divBdr>
    </w:div>
    <w:div w:id="445778454">
      <w:bodyDiv w:val="1"/>
      <w:marLeft w:val="0"/>
      <w:marRight w:val="0"/>
      <w:marTop w:val="0"/>
      <w:marBottom w:val="0"/>
      <w:divBdr>
        <w:top w:val="none" w:sz="0" w:space="0" w:color="auto"/>
        <w:left w:val="none" w:sz="0" w:space="0" w:color="auto"/>
        <w:bottom w:val="none" w:sz="0" w:space="0" w:color="auto"/>
        <w:right w:val="none" w:sz="0" w:space="0" w:color="auto"/>
      </w:divBdr>
    </w:div>
    <w:div w:id="473988695">
      <w:bodyDiv w:val="1"/>
      <w:marLeft w:val="0"/>
      <w:marRight w:val="0"/>
      <w:marTop w:val="0"/>
      <w:marBottom w:val="0"/>
      <w:divBdr>
        <w:top w:val="none" w:sz="0" w:space="0" w:color="auto"/>
        <w:left w:val="none" w:sz="0" w:space="0" w:color="auto"/>
        <w:bottom w:val="none" w:sz="0" w:space="0" w:color="auto"/>
        <w:right w:val="none" w:sz="0" w:space="0" w:color="auto"/>
      </w:divBdr>
    </w:div>
    <w:div w:id="517816367">
      <w:bodyDiv w:val="1"/>
      <w:marLeft w:val="0"/>
      <w:marRight w:val="0"/>
      <w:marTop w:val="0"/>
      <w:marBottom w:val="0"/>
      <w:divBdr>
        <w:top w:val="none" w:sz="0" w:space="0" w:color="auto"/>
        <w:left w:val="none" w:sz="0" w:space="0" w:color="auto"/>
        <w:bottom w:val="none" w:sz="0" w:space="0" w:color="auto"/>
        <w:right w:val="none" w:sz="0" w:space="0" w:color="auto"/>
      </w:divBdr>
    </w:div>
    <w:div w:id="522938995">
      <w:bodyDiv w:val="1"/>
      <w:marLeft w:val="0"/>
      <w:marRight w:val="0"/>
      <w:marTop w:val="0"/>
      <w:marBottom w:val="0"/>
      <w:divBdr>
        <w:top w:val="none" w:sz="0" w:space="0" w:color="auto"/>
        <w:left w:val="none" w:sz="0" w:space="0" w:color="auto"/>
        <w:bottom w:val="none" w:sz="0" w:space="0" w:color="auto"/>
        <w:right w:val="none" w:sz="0" w:space="0" w:color="auto"/>
      </w:divBdr>
    </w:div>
    <w:div w:id="619915043">
      <w:bodyDiv w:val="1"/>
      <w:marLeft w:val="0"/>
      <w:marRight w:val="0"/>
      <w:marTop w:val="0"/>
      <w:marBottom w:val="0"/>
      <w:divBdr>
        <w:top w:val="none" w:sz="0" w:space="0" w:color="auto"/>
        <w:left w:val="none" w:sz="0" w:space="0" w:color="auto"/>
        <w:bottom w:val="none" w:sz="0" w:space="0" w:color="auto"/>
        <w:right w:val="none" w:sz="0" w:space="0" w:color="auto"/>
      </w:divBdr>
    </w:div>
    <w:div w:id="621033249">
      <w:bodyDiv w:val="1"/>
      <w:marLeft w:val="0"/>
      <w:marRight w:val="0"/>
      <w:marTop w:val="0"/>
      <w:marBottom w:val="0"/>
      <w:divBdr>
        <w:top w:val="none" w:sz="0" w:space="0" w:color="auto"/>
        <w:left w:val="none" w:sz="0" w:space="0" w:color="auto"/>
        <w:bottom w:val="none" w:sz="0" w:space="0" w:color="auto"/>
        <w:right w:val="none" w:sz="0" w:space="0" w:color="auto"/>
      </w:divBdr>
    </w:div>
    <w:div w:id="779296836">
      <w:bodyDiv w:val="1"/>
      <w:marLeft w:val="0"/>
      <w:marRight w:val="0"/>
      <w:marTop w:val="0"/>
      <w:marBottom w:val="0"/>
      <w:divBdr>
        <w:top w:val="none" w:sz="0" w:space="0" w:color="auto"/>
        <w:left w:val="none" w:sz="0" w:space="0" w:color="auto"/>
        <w:bottom w:val="none" w:sz="0" w:space="0" w:color="auto"/>
        <w:right w:val="none" w:sz="0" w:space="0" w:color="auto"/>
      </w:divBdr>
    </w:div>
    <w:div w:id="800925591">
      <w:bodyDiv w:val="1"/>
      <w:marLeft w:val="0"/>
      <w:marRight w:val="0"/>
      <w:marTop w:val="0"/>
      <w:marBottom w:val="0"/>
      <w:divBdr>
        <w:top w:val="none" w:sz="0" w:space="0" w:color="auto"/>
        <w:left w:val="none" w:sz="0" w:space="0" w:color="auto"/>
        <w:bottom w:val="none" w:sz="0" w:space="0" w:color="auto"/>
        <w:right w:val="none" w:sz="0" w:space="0" w:color="auto"/>
      </w:divBdr>
    </w:div>
    <w:div w:id="817648364">
      <w:bodyDiv w:val="1"/>
      <w:marLeft w:val="0"/>
      <w:marRight w:val="0"/>
      <w:marTop w:val="0"/>
      <w:marBottom w:val="0"/>
      <w:divBdr>
        <w:top w:val="none" w:sz="0" w:space="0" w:color="auto"/>
        <w:left w:val="none" w:sz="0" w:space="0" w:color="auto"/>
        <w:bottom w:val="none" w:sz="0" w:space="0" w:color="auto"/>
        <w:right w:val="none" w:sz="0" w:space="0" w:color="auto"/>
      </w:divBdr>
    </w:div>
    <w:div w:id="867138840">
      <w:bodyDiv w:val="1"/>
      <w:marLeft w:val="0"/>
      <w:marRight w:val="0"/>
      <w:marTop w:val="0"/>
      <w:marBottom w:val="0"/>
      <w:divBdr>
        <w:top w:val="none" w:sz="0" w:space="0" w:color="auto"/>
        <w:left w:val="none" w:sz="0" w:space="0" w:color="auto"/>
        <w:bottom w:val="none" w:sz="0" w:space="0" w:color="auto"/>
        <w:right w:val="none" w:sz="0" w:space="0" w:color="auto"/>
      </w:divBdr>
    </w:div>
    <w:div w:id="930546777">
      <w:bodyDiv w:val="1"/>
      <w:marLeft w:val="0"/>
      <w:marRight w:val="0"/>
      <w:marTop w:val="0"/>
      <w:marBottom w:val="0"/>
      <w:divBdr>
        <w:top w:val="none" w:sz="0" w:space="0" w:color="auto"/>
        <w:left w:val="none" w:sz="0" w:space="0" w:color="auto"/>
        <w:bottom w:val="none" w:sz="0" w:space="0" w:color="auto"/>
        <w:right w:val="none" w:sz="0" w:space="0" w:color="auto"/>
      </w:divBdr>
    </w:div>
    <w:div w:id="941493421">
      <w:bodyDiv w:val="1"/>
      <w:marLeft w:val="0"/>
      <w:marRight w:val="0"/>
      <w:marTop w:val="0"/>
      <w:marBottom w:val="0"/>
      <w:divBdr>
        <w:top w:val="none" w:sz="0" w:space="0" w:color="auto"/>
        <w:left w:val="none" w:sz="0" w:space="0" w:color="auto"/>
        <w:bottom w:val="none" w:sz="0" w:space="0" w:color="auto"/>
        <w:right w:val="none" w:sz="0" w:space="0" w:color="auto"/>
      </w:divBdr>
    </w:div>
    <w:div w:id="1011682661">
      <w:bodyDiv w:val="1"/>
      <w:marLeft w:val="0"/>
      <w:marRight w:val="0"/>
      <w:marTop w:val="0"/>
      <w:marBottom w:val="0"/>
      <w:divBdr>
        <w:top w:val="none" w:sz="0" w:space="0" w:color="auto"/>
        <w:left w:val="none" w:sz="0" w:space="0" w:color="auto"/>
        <w:bottom w:val="none" w:sz="0" w:space="0" w:color="auto"/>
        <w:right w:val="none" w:sz="0" w:space="0" w:color="auto"/>
      </w:divBdr>
    </w:div>
    <w:div w:id="1018236520">
      <w:bodyDiv w:val="1"/>
      <w:marLeft w:val="0"/>
      <w:marRight w:val="0"/>
      <w:marTop w:val="0"/>
      <w:marBottom w:val="0"/>
      <w:divBdr>
        <w:top w:val="none" w:sz="0" w:space="0" w:color="auto"/>
        <w:left w:val="none" w:sz="0" w:space="0" w:color="auto"/>
        <w:bottom w:val="none" w:sz="0" w:space="0" w:color="auto"/>
        <w:right w:val="none" w:sz="0" w:space="0" w:color="auto"/>
      </w:divBdr>
    </w:div>
    <w:div w:id="1056198668">
      <w:bodyDiv w:val="1"/>
      <w:marLeft w:val="0"/>
      <w:marRight w:val="0"/>
      <w:marTop w:val="0"/>
      <w:marBottom w:val="0"/>
      <w:divBdr>
        <w:top w:val="none" w:sz="0" w:space="0" w:color="auto"/>
        <w:left w:val="none" w:sz="0" w:space="0" w:color="auto"/>
        <w:bottom w:val="none" w:sz="0" w:space="0" w:color="auto"/>
        <w:right w:val="none" w:sz="0" w:space="0" w:color="auto"/>
      </w:divBdr>
    </w:div>
    <w:div w:id="1210069725">
      <w:bodyDiv w:val="1"/>
      <w:marLeft w:val="0"/>
      <w:marRight w:val="0"/>
      <w:marTop w:val="0"/>
      <w:marBottom w:val="0"/>
      <w:divBdr>
        <w:top w:val="none" w:sz="0" w:space="0" w:color="auto"/>
        <w:left w:val="none" w:sz="0" w:space="0" w:color="auto"/>
        <w:bottom w:val="none" w:sz="0" w:space="0" w:color="auto"/>
        <w:right w:val="none" w:sz="0" w:space="0" w:color="auto"/>
      </w:divBdr>
    </w:div>
    <w:div w:id="1303928336">
      <w:bodyDiv w:val="1"/>
      <w:marLeft w:val="0"/>
      <w:marRight w:val="0"/>
      <w:marTop w:val="0"/>
      <w:marBottom w:val="0"/>
      <w:divBdr>
        <w:top w:val="none" w:sz="0" w:space="0" w:color="auto"/>
        <w:left w:val="none" w:sz="0" w:space="0" w:color="auto"/>
        <w:bottom w:val="none" w:sz="0" w:space="0" w:color="auto"/>
        <w:right w:val="none" w:sz="0" w:space="0" w:color="auto"/>
      </w:divBdr>
    </w:div>
    <w:div w:id="1411075897">
      <w:bodyDiv w:val="1"/>
      <w:marLeft w:val="0"/>
      <w:marRight w:val="0"/>
      <w:marTop w:val="0"/>
      <w:marBottom w:val="0"/>
      <w:divBdr>
        <w:top w:val="none" w:sz="0" w:space="0" w:color="auto"/>
        <w:left w:val="none" w:sz="0" w:space="0" w:color="auto"/>
        <w:bottom w:val="none" w:sz="0" w:space="0" w:color="auto"/>
        <w:right w:val="none" w:sz="0" w:space="0" w:color="auto"/>
      </w:divBdr>
    </w:div>
    <w:div w:id="1511989782">
      <w:bodyDiv w:val="1"/>
      <w:marLeft w:val="0"/>
      <w:marRight w:val="0"/>
      <w:marTop w:val="0"/>
      <w:marBottom w:val="0"/>
      <w:divBdr>
        <w:top w:val="none" w:sz="0" w:space="0" w:color="auto"/>
        <w:left w:val="none" w:sz="0" w:space="0" w:color="auto"/>
        <w:bottom w:val="none" w:sz="0" w:space="0" w:color="auto"/>
        <w:right w:val="none" w:sz="0" w:space="0" w:color="auto"/>
      </w:divBdr>
    </w:div>
    <w:div w:id="1543665031">
      <w:bodyDiv w:val="1"/>
      <w:marLeft w:val="0"/>
      <w:marRight w:val="0"/>
      <w:marTop w:val="0"/>
      <w:marBottom w:val="0"/>
      <w:divBdr>
        <w:top w:val="none" w:sz="0" w:space="0" w:color="auto"/>
        <w:left w:val="none" w:sz="0" w:space="0" w:color="auto"/>
        <w:bottom w:val="none" w:sz="0" w:space="0" w:color="auto"/>
        <w:right w:val="none" w:sz="0" w:space="0" w:color="auto"/>
      </w:divBdr>
    </w:div>
    <w:div w:id="1635523909">
      <w:bodyDiv w:val="1"/>
      <w:marLeft w:val="0"/>
      <w:marRight w:val="0"/>
      <w:marTop w:val="0"/>
      <w:marBottom w:val="0"/>
      <w:divBdr>
        <w:top w:val="none" w:sz="0" w:space="0" w:color="auto"/>
        <w:left w:val="none" w:sz="0" w:space="0" w:color="auto"/>
        <w:bottom w:val="none" w:sz="0" w:space="0" w:color="auto"/>
        <w:right w:val="none" w:sz="0" w:space="0" w:color="auto"/>
      </w:divBdr>
    </w:div>
    <w:div w:id="1793595066">
      <w:bodyDiv w:val="1"/>
      <w:marLeft w:val="0"/>
      <w:marRight w:val="0"/>
      <w:marTop w:val="0"/>
      <w:marBottom w:val="0"/>
      <w:divBdr>
        <w:top w:val="none" w:sz="0" w:space="0" w:color="auto"/>
        <w:left w:val="none" w:sz="0" w:space="0" w:color="auto"/>
        <w:bottom w:val="none" w:sz="0" w:space="0" w:color="auto"/>
        <w:right w:val="none" w:sz="0" w:space="0" w:color="auto"/>
      </w:divBdr>
    </w:div>
    <w:div w:id="1840195104">
      <w:bodyDiv w:val="1"/>
      <w:marLeft w:val="0"/>
      <w:marRight w:val="0"/>
      <w:marTop w:val="0"/>
      <w:marBottom w:val="0"/>
      <w:divBdr>
        <w:top w:val="none" w:sz="0" w:space="0" w:color="auto"/>
        <w:left w:val="none" w:sz="0" w:space="0" w:color="auto"/>
        <w:bottom w:val="none" w:sz="0" w:space="0" w:color="auto"/>
        <w:right w:val="none" w:sz="0" w:space="0" w:color="auto"/>
      </w:divBdr>
    </w:div>
    <w:div w:id="1853913583">
      <w:bodyDiv w:val="1"/>
      <w:marLeft w:val="0"/>
      <w:marRight w:val="0"/>
      <w:marTop w:val="0"/>
      <w:marBottom w:val="0"/>
      <w:divBdr>
        <w:top w:val="none" w:sz="0" w:space="0" w:color="auto"/>
        <w:left w:val="none" w:sz="0" w:space="0" w:color="auto"/>
        <w:bottom w:val="none" w:sz="0" w:space="0" w:color="auto"/>
        <w:right w:val="none" w:sz="0" w:space="0" w:color="auto"/>
      </w:divBdr>
    </w:div>
    <w:div w:id="1919708839">
      <w:bodyDiv w:val="1"/>
      <w:marLeft w:val="0"/>
      <w:marRight w:val="0"/>
      <w:marTop w:val="0"/>
      <w:marBottom w:val="0"/>
      <w:divBdr>
        <w:top w:val="none" w:sz="0" w:space="0" w:color="auto"/>
        <w:left w:val="none" w:sz="0" w:space="0" w:color="auto"/>
        <w:bottom w:val="none" w:sz="0" w:space="0" w:color="auto"/>
        <w:right w:val="none" w:sz="0" w:space="0" w:color="auto"/>
      </w:divBdr>
    </w:div>
    <w:div w:id="193292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30DED-C32A-44F7-8751-2630805E0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2499</Words>
  <Characters>13763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Verslag</vt:lpstr>
    </vt:vector>
  </TitlesOfParts>
  <Company>Iris Huisstijlautomatisering</Company>
  <LinksUpToDate>false</LinksUpToDate>
  <CharactersWithSpaces>16230</CharactersWithSpaces>
  <SharedDoc>false</SharedDoc>
  <HLinks>
    <vt:vector size="438" baseType="variant">
      <vt:variant>
        <vt:i4>4325387</vt:i4>
      </vt:variant>
      <vt:variant>
        <vt:i4>457</vt:i4>
      </vt:variant>
      <vt:variant>
        <vt:i4>0</vt:i4>
      </vt:variant>
      <vt:variant>
        <vt:i4>5</vt:i4>
      </vt:variant>
      <vt:variant>
        <vt:lpwstr/>
      </vt:variant>
      <vt:variant>
        <vt:lpwstr>_ENREF_38</vt:lpwstr>
      </vt:variant>
      <vt:variant>
        <vt:i4>4325387</vt:i4>
      </vt:variant>
      <vt:variant>
        <vt:i4>451</vt:i4>
      </vt:variant>
      <vt:variant>
        <vt:i4>0</vt:i4>
      </vt:variant>
      <vt:variant>
        <vt:i4>5</vt:i4>
      </vt:variant>
      <vt:variant>
        <vt:lpwstr/>
      </vt:variant>
      <vt:variant>
        <vt:lpwstr>_ENREF_37</vt:lpwstr>
      </vt:variant>
      <vt:variant>
        <vt:i4>4390923</vt:i4>
      </vt:variant>
      <vt:variant>
        <vt:i4>443</vt:i4>
      </vt:variant>
      <vt:variant>
        <vt:i4>0</vt:i4>
      </vt:variant>
      <vt:variant>
        <vt:i4>5</vt:i4>
      </vt:variant>
      <vt:variant>
        <vt:lpwstr/>
      </vt:variant>
      <vt:variant>
        <vt:lpwstr>_ENREF_27</vt:lpwstr>
      </vt:variant>
      <vt:variant>
        <vt:i4>4390923</vt:i4>
      </vt:variant>
      <vt:variant>
        <vt:i4>437</vt:i4>
      </vt:variant>
      <vt:variant>
        <vt:i4>0</vt:i4>
      </vt:variant>
      <vt:variant>
        <vt:i4>5</vt:i4>
      </vt:variant>
      <vt:variant>
        <vt:lpwstr/>
      </vt:variant>
      <vt:variant>
        <vt:lpwstr>_ENREF_27</vt:lpwstr>
      </vt:variant>
      <vt:variant>
        <vt:i4>4390923</vt:i4>
      </vt:variant>
      <vt:variant>
        <vt:i4>434</vt:i4>
      </vt:variant>
      <vt:variant>
        <vt:i4>0</vt:i4>
      </vt:variant>
      <vt:variant>
        <vt:i4>5</vt:i4>
      </vt:variant>
      <vt:variant>
        <vt:lpwstr/>
      </vt:variant>
      <vt:variant>
        <vt:lpwstr>_ENREF_24</vt:lpwstr>
      </vt:variant>
      <vt:variant>
        <vt:i4>4390923</vt:i4>
      </vt:variant>
      <vt:variant>
        <vt:i4>428</vt:i4>
      </vt:variant>
      <vt:variant>
        <vt:i4>0</vt:i4>
      </vt:variant>
      <vt:variant>
        <vt:i4>5</vt:i4>
      </vt:variant>
      <vt:variant>
        <vt:lpwstr/>
      </vt:variant>
      <vt:variant>
        <vt:lpwstr>_ENREF_20</vt:lpwstr>
      </vt:variant>
      <vt:variant>
        <vt:i4>4325387</vt:i4>
      </vt:variant>
      <vt:variant>
        <vt:i4>422</vt:i4>
      </vt:variant>
      <vt:variant>
        <vt:i4>0</vt:i4>
      </vt:variant>
      <vt:variant>
        <vt:i4>5</vt:i4>
      </vt:variant>
      <vt:variant>
        <vt:lpwstr/>
      </vt:variant>
      <vt:variant>
        <vt:lpwstr>_ENREF_36</vt:lpwstr>
      </vt:variant>
      <vt:variant>
        <vt:i4>4325387</vt:i4>
      </vt:variant>
      <vt:variant>
        <vt:i4>416</vt:i4>
      </vt:variant>
      <vt:variant>
        <vt:i4>0</vt:i4>
      </vt:variant>
      <vt:variant>
        <vt:i4>5</vt:i4>
      </vt:variant>
      <vt:variant>
        <vt:lpwstr/>
      </vt:variant>
      <vt:variant>
        <vt:lpwstr>_ENREF_35</vt:lpwstr>
      </vt:variant>
      <vt:variant>
        <vt:i4>4325387</vt:i4>
      </vt:variant>
      <vt:variant>
        <vt:i4>410</vt:i4>
      </vt:variant>
      <vt:variant>
        <vt:i4>0</vt:i4>
      </vt:variant>
      <vt:variant>
        <vt:i4>5</vt:i4>
      </vt:variant>
      <vt:variant>
        <vt:lpwstr/>
      </vt:variant>
      <vt:variant>
        <vt:lpwstr>_ENREF_34</vt:lpwstr>
      </vt:variant>
      <vt:variant>
        <vt:i4>4390923</vt:i4>
      </vt:variant>
      <vt:variant>
        <vt:i4>407</vt:i4>
      </vt:variant>
      <vt:variant>
        <vt:i4>0</vt:i4>
      </vt:variant>
      <vt:variant>
        <vt:i4>5</vt:i4>
      </vt:variant>
      <vt:variant>
        <vt:lpwstr/>
      </vt:variant>
      <vt:variant>
        <vt:lpwstr>_ENREF_25</vt:lpwstr>
      </vt:variant>
      <vt:variant>
        <vt:i4>4390923</vt:i4>
      </vt:variant>
      <vt:variant>
        <vt:i4>404</vt:i4>
      </vt:variant>
      <vt:variant>
        <vt:i4>0</vt:i4>
      </vt:variant>
      <vt:variant>
        <vt:i4>5</vt:i4>
      </vt:variant>
      <vt:variant>
        <vt:lpwstr/>
      </vt:variant>
      <vt:variant>
        <vt:lpwstr>_ENREF_24</vt:lpwstr>
      </vt:variant>
      <vt:variant>
        <vt:i4>4390923</vt:i4>
      </vt:variant>
      <vt:variant>
        <vt:i4>401</vt:i4>
      </vt:variant>
      <vt:variant>
        <vt:i4>0</vt:i4>
      </vt:variant>
      <vt:variant>
        <vt:i4>5</vt:i4>
      </vt:variant>
      <vt:variant>
        <vt:lpwstr/>
      </vt:variant>
      <vt:variant>
        <vt:lpwstr>_ENREF_20</vt:lpwstr>
      </vt:variant>
      <vt:variant>
        <vt:i4>4325387</vt:i4>
      </vt:variant>
      <vt:variant>
        <vt:i4>393</vt:i4>
      </vt:variant>
      <vt:variant>
        <vt:i4>0</vt:i4>
      </vt:variant>
      <vt:variant>
        <vt:i4>5</vt:i4>
      </vt:variant>
      <vt:variant>
        <vt:lpwstr/>
      </vt:variant>
      <vt:variant>
        <vt:lpwstr>_ENREF_33</vt:lpwstr>
      </vt:variant>
      <vt:variant>
        <vt:i4>4325387</vt:i4>
      </vt:variant>
      <vt:variant>
        <vt:i4>387</vt:i4>
      </vt:variant>
      <vt:variant>
        <vt:i4>0</vt:i4>
      </vt:variant>
      <vt:variant>
        <vt:i4>5</vt:i4>
      </vt:variant>
      <vt:variant>
        <vt:lpwstr/>
      </vt:variant>
      <vt:variant>
        <vt:lpwstr>_ENREF_30</vt:lpwstr>
      </vt:variant>
      <vt:variant>
        <vt:i4>4325387</vt:i4>
      </vt:variant>
      <vt:variant>
        <vt:i4>381</vt:i4>
      </vt:variant>
      <vt:variant>
        <vt:i4>0</vt:i4>
      </vt:variant>
      <vt:variant>
        <vt:i4>5</vt:i4>
      </vt:variant>
      <vt:variant>
        <vt:lpwstr/>
      </vt:variant>
      <vt:variant>
        <vt:lpwstr>_ENREF_32</vt:lpwstr>
      </vt:variant>
      <vt:variant>
        <vt:i4>4325387</vt:i4>
      </vt:variant>
      <vt:variant>
        <vt:i4>372</vt:i4>
      </vt:variant>
      <vt:variant>
        <vt:i4>0</vt:i4>
      </vt:variant>
      <vt:variant>
        <vt:i4>5</vt:i4>
      </vt:variant>
      <vt:variant>
        <vt:lpwstr/>
      </vt:variant>
      <vt:variant>
        <vt:lpwstr>_ENREF_31</vt:lpwstr>
      </vt:variant>
      <vt:variant>
        <vt:i4>4325387</vt:i4>
      </vt:variant>
      <vt:variant>
        <vt:i4>369</vt:i4>
      </vt:variant>
      <vt:variant>
        <vt:i4>0</vt:i4>
      </vt:variant>
      <vt:variant>
        <vt:i4>5</vt:i4>
      </vt:variant>
      <vt:variant>
        <vt:lpwstr/>
      </vt:variant>
      <vt:variant>
        <vt:lpwstr>_ENREF_30</vt:lpwstr>
      </vt:variant>
      <vt:variant>
        <vt:i4>4390923</vt:i4>
      </vt:variant>
      <vt:variant>
        <vt:i4>360</vt:i4>
      </vt:variant>
      <vt:variant>
        <vt:i4>0</vt:i4>
      </vt:variant>
      <vt:variant>
        <vt:i4>5</vt:i4>
      </vt:variant>
      <vt:variant>
        <vt:lpwstr/>
      </vt:variant>
      <vt:variant>
        <vt:lpwstr>_ENREF_27</vt:lpwstr>
      </vt:variant>
      <vt:variant>
        <vt:i4>4390923</vt:i4>
      </vt:variant>
      <vt:variant>
        <vt:i4>348</vt:i4>
      </vt:variant>
      <vt:variant>
        <vt:i4>0</vt:i4>
      </vt:variant>
      <vt:variant>
        <vt:i4>5</vt:i4>
      </vt:variant>
      <vt:variant>
        <vt:lpwstr/>
      </vt:variant>
      <vt:variant>
        <vt:lpwstr>_ENREF_25</vt:lpwstr>
      </vt:variant>
      <vt:variant>
        <vt:i4>4390923</vt:i4>
      </vt:variant>
      <vt:variant>
        <vt:i4>342</vt:i4>
      </vt:variant>
      <vt:variant>
        <vt:i4>0</vt:i4>
      </vt:variant>
      <vt:variant>
        <vt:i4>5</vt:i4>
      </vt:variant>
      <vt:variant>
        <vt:lpwstr/>
      </vt:variant>
      <vt:variant>
        <vt:lpwstr>_ENREF_29</vt:lpwstr>
      </vt:variant>
      <vt:variant>
        <vt:i4>4390923</vt:i4>
      </vt:variant>
      <vt:variant>
        <vt:i4>336</vt:i4>
      </vt:variant>
      <vt:variant>
        <vt:i4>0</vt:i4>
      </vt:variant>
      <vt:variant>
        <vt:i4>5</vt:i4>
      </vt:variant>
      <vt:variant>
        <vt:lpwstr/>
      </vt:variant>
      <vt:variant>
        <vt:lpwstr>_ENREF_25</vt:lpwstr>
      </vt:variant>
      <vt:variant>
        <vt:i4>4390923</vt:i4>
      </vt:variant>
      <vt:variant>
        <vt:i4>324</vt:i4>
      </vt:variant>
      <vt:variant>
        <vt:i4>0</vt:i4>
      </vt:variant>
      <vt:variant>
        <vt:i4>5</vt:i4>
      </vt:variant>
      <vt:variant>
        <vt:lpwstr/>
      </vt:variant>
      <vt:variant>
        <vt:lpwstr>_ENREF_28</vt:lpwstr>
      </vt:variant>
      <vt:variant>
        <vt:i4>4390923</vt:i4>
      </vt:variant>
      <vt:variant>
        <vt:i4>312</vt:i4>
      </vt:variant>
      <vt:variant>
        <vt:i4>0</vt:i4>
      </vt:variant>
      <vt:variant>
        <vt:i4>5</vt:i4>
      </vt:variant>
      <vt:variant>
        <vt:lpwstr/>
      </vt:variant>
      <vt:variant>
        <vt:lpwstr>_ENREF_27</vt:lpwstr>
      </vt:variant>
      <vt:variant>
        <vt:i4>4390923</vt:i4>
      </vt:variant>
      <vt:variant>
        <vt:i4>309</vt:i4>
      </vt:variant>
      <vt:variant>
        <vt:i4>0</vt:i4>
      </vt:variant>
      <vt:variant>
        <vt:i4>5</vt:i4>
      </vt:variant>
      <vt:variant>
        <vt:lpwstr/>
      </vt:variant>
      <vt:variant>
        <vt:lpwstr>_ENREF_24</vt:lpwstr>
      </vt:variant>
      <vt:variant>
        <vt:i4>4390923</vt:i4>
      </vt:variant>
      <vt:variant>
        <vt:i4>300</vt:i4>
      </vt:variant>
      <vt:variant>
        <vt:i4>0</vt:i4>
      </vt:variant>
      <vt:variant>
        <vt:i4>5</vt:i4>
      </vt:variant>
      <vt:variant>
        <vt:lpwstr/>
      </vt:variant>
      <vt:variant>
        <vt:lpwstr>_ENREF_26</vt:lpwstr>
      </vt:variant>
      <vt:variant>
        <vt:i4>4390923</vt:i4>
      </vt:variant>
      <vt:variant>
        <vt:i4>285</vt:i4>
      </vt:variant>
      <vt:variant>
        <vt:i4>0</vt:i4>
      </vt:variant>
      <vt:variant>
        <vt:i4>5</vt:i4>
      </vt:variant>
      <vt:variant>
        <vt:lpwstr/>
      </vt:variant>
      <vt:variant>
        <vt:lpwstr>_ENREF_26</vt:lpwstr>
      </vt:variant>
      <vt:variant>
        <vt:i4>4390923</vt:i4>
      </vt:variant>
      <vt:variant>
        <vt:i4>279</vt:i4>
      </vt:variant>
      <vt:variant>
        <vt:i4>0</vt:i4>
      </vt:variant>
      <vt:variant>
        <vt:i4>5</vt:i4>
      </vt:variant>
      <vt:variant>
        <vt:lpwstr/>
      </vt:variant>
      <vt:variant>
        <vt:lpwstr>_ENREF_26</vt:lpwstr>
      </vt:variant>
      <vt:variant>
        <vt:i4>4390923</vt:i4>
      </vt:variant>
      <vt:variant>
        <vt:i4>270</vt:i4>
      </vt:variant>
      <vt:variant>
        <vt:i4>0</vt:i4>
      </vt:variant>
      <vt:variant>
        <vt:i4>5</vt:i4>
      </vt:variant>
      <vt:variant>
        <vt:lpwstr/>
      </vt:variant>
      <vt:variant>
        <vt:lpwstr>_ENREF_26</vt:lpwstr>
      </vt:variant>
      <vt:variant>
        <vt:i4>4390923</vt:i4>
      </vt:variant>
      <vt:variant>
        <vt:i4>264</vt:i4>
      </vt:variant>
      <vt:variant>
        <vt:i4>0</vt:i4>
      </vt:variant>
      <vt:variant>
        <vt:i4>5</vt:i4>
      </vt:variant>
      <vt:variant>
        <vt:lpwstr/>
      </vt:variant>
      <vt:variant>
        <vt:lpwstr>_ENREF_25</vt:lpwstr>
      </vt:variant>
      <vt:variant>
        <vt:i4>4390923</vt:i4>
      </vt:variant>
      <vt:variant>
        <vt:i4>261</vt:i4>
      </vt:variant>
      <vt:variant>
        <vt:i4>0</vt:i4>
      </vt:variant>
      <vt:variant>
        <vt:i4>5</vt:i4>
      </vt:variant>
      <vt:variant>
        <vt:lpwstr/>
      </vt:variant>
      <vt:variant>
        <vt:lpwstr>_ENREF_24</vt:lpwstr>
      </vt:variant>
      <vt:variant>
        <vt:i4>4390923</vt:i4>
      </vt:variant>
      <vt:variant>
        <vt:i4>243</vt:i4>
      </vt:variant>
      <vt:variant>
        <vt:i4>0</vt:i4>
      </vt:variant>
      <vt:variant>
        <vt:i4>5</vt:i4>
      </vt:variant>
      <vt:variant>
        <vt:lpwstr/>
      </vt:variant>
      <vt:variant>
        <vt:lpwstr>_ENREF_23</vt:lpwstr>
      </vt:variant>
      <vt:variant>
        <vt:i4>4390923</vt:i4>
      </vt:variant>
      <vt:variant>
        <vt:i4>240</vt:i4>
      </vt:variant>
      <vt:variant>
        <vt:i4>0</vt:i4>
      </vt:variant>
      <vt:variant>
        <vt:i4>5</vt:i4>
      </vt:variant>
      <vt:variant>
        <vt:lpwstr/>
      </vt:variant>
      <vt:variant>
        <vt:lpwstr>_ENREF_22</vt:lpwstr>
      </vt:variant>
      <vt:variant>
        <vt:i4>4390923</vt:i4>
      </vt:variant>
      <vt:variant>
        <vt:i4>234</vt:i4>
      </vt:variant>
      <vt:variant>
        <vt:i4>0</vt:i4>
      </vt:variant>
      <vt:variant>
        <vt:i4>5</vt:i4>
      </vt:variant>
      <vt:variant>
        <vt:lpwstr/>
      </vt:variant>
      <vt:variant>
        <vt:lpwstr>_ENREF_21</vt:lpwstr>
      </vt:variant>
      <vt:variant>
        <vt:i4>4390923</vt:i4>
      </vt:variant>
      <vt:variant>
        <vt:i4>228</vt:i4>
      </vt:variant>
      <vt:variant>
        <vt:i4>0</vt:i4>
      </vt:variant>
      <vt:variant>
        <vt:i4>5</vt:i4>
      </vt:variant>
      <vt:variant>
        <vt:lpwstr/>
      </vt:variant>
      <vt:variant>
        <vt:lpwstr>_ENREF_20</vt:lpwstr>
      </vt:variant>
      <vt:variant>
        <vt:i4>4390923</vt:i4>
      </vt:variant>
      <vt:variant>
        <vt:i4>222</vt:i4>
      </vt:variant>
      <vt:variant>
        <vt:i4>0</vt:i4>
      </vt:variant>
      <vt:variant>
        <vt:i4>5</vt:i4>
      </vt:variant>
      <vt:variant>
        <vt:lpwstr/>
      </vt:variant>
      <vt:variant>
        <vt:lpwstr>_ENREF_20</vt:lpwstr>
      </vt:variant>
      <vt:variant>
        <vt:i4>4194315</vt:i4>
      </vt:variant>
      <vt:variant>
        <vt:i4>214</vt:i4>
      </vt:variant>
      <vt:variant>
        <vt:i4>0</vt:i4>
      </vt:variant>
      <vt:variant>
        <vt:i4>5</vt:i4>
      </vt:variant>
      <vt:variant>
        <vt:lpwstr/>
      </vt:variant>
      <vt:variant>
        <vt:lpwstr>_ENREF_19</vt:lpwstr>
      </vt:variant>
      <vt:variant>
        <vt:i4>4194315</vt:i4>
      </vt:variant>
      <vt:variant>
        <vt:i4>208</vt:i4>
      </vt:variant>
      <vt:variant>
        <vt:i4>0</vt:i4>
      </vt:variant>
      <vt:variant>
        <vt:i4>5</vt:i4>
      </vt:variant>
      <vt:variant>
        <vt:lpwstr/>
      </vt:variant>
      <vt:variant>
        <vt:lpwstr>_ENREF_18</vt:lpwstr>
      </vt:variant>
      <vt:variant>
        <vt:i4>4194315</vt:i4>
      </vt:variant>
      <vt:variant>
        <vt:i4>202</vt:i4>
      </vt:variant>
      <vt:variant>
        <vt:i4>0</vt:i4>
      </vt:variant>
      <vt:variant>
        <vt:i4>5</vt:i4>
      </vt:variant>
      <vt:variant>
        <vt:lpwstr/>
      </vt:variant>
      <vt:variant>
        <vt:lpwstr>_ENREF_18</vt:lpwstr>
      </vt:variant>
      <vt:variant>
        <vt:i4>4194315</vt:i4>
      </vt:variant>
      <vt:variant>
        <vt:i4>196</vt:i4>
      </vt:variant>
      <vt:variant>
        <vt:i4>0</vt:i4>
      </vt:variant>
      <vt:variant>
        <vt:i4>5</vt:i4>
      </vt:variant>
      <vt:variant>
        <vt:lpwstr/>
      </vt:variant>
      <vt:variant>
        <vt:lpwstr>_ENREF_18</vt:lpwstr>
      </vt:variant>
      <vt:variant>
        <vt:i4>4194315</vt:i4>
      </vt:variant>
      <vt:variant>
        <vt:i4>190</vt:i4>
      </vt:variant>
      <vt:variant>
        <vt:i4>0</vt:i4>
      </vt:variant>
      <vt:variant>
        <vt:i4>5</vt:i4>
      </vt:variant>
      <vt:variant>
        <vt:lpwstr/>
      </vt:variant>
      <vt:variant>
        <vt:lpwstr>_ENREF_17</vt:lpwstr>
      </vt:variant>
      <vt:variant>
        <vt:i4>4194315</vt:i4>
      </vt:variant>
      <vt:variant>
        <vt:i4>184</vt:i4>
      </vt:variant>
      <vt:variant>
        <vt:i4>0</vt:i4>
      </vt:variant>
      <vt:variant>
        <vt:i4>5</vt:i4>
      </vt:variant>
      <vt:variant>
        <vt:lpwstr/>
      </vt:variant>
      <vt:variant>
        <vt:lpwstr>_ENREF_17</vt:lpwstr>
      </vt:variant>
      <vt:variant>
        <vt:i4>4194315</vt:i4>
      </vt:variant>
      <vt:variant>
        <vt:i4>178</vt:i4>
      </vt:variant>
      <vt:variant>
        <vt:i4>0</vt:i4>
      </vt:variant>
      <vt:variant>
        <vt:i4>5</vt:i4>
      </vt:variant>
      <vt:variant>
        <vt:lpwstr/>
      </vt:variant>
      <vt:variant>
        <vt:lpwstr>_ENREF_18</vt:lpwstr>
      </vt:variant>
      <vt:variant>
        <vt:i4>4194315</vt:i4>
      </vt:variant>
      <vt:variant>
        <vt:i4>172</vt:i4>
      </vt:variant>
      <vt:variant>
        <vt:i4>0</vt:i4>
      </vt:variant>
      <vt:variant>
        <vt:i4>5</vt:i4>
      </vt:variant>
      <vt:variant>
        <vt:lpwstr/>
      </vt:variant>
      <vt:variant>
        <vt:lpwstr>_ENREF_19</vt:lpwstr>
      </vt:variant>
      <vt:variant>
        <vt:i4>4194315</vt:i4>
      </vt:variant>
      <vt:variant>
        <vt:i4>166</vt:i4>
      </vt:variant>
      <vt:variant>
        <vt:i4>0</vt:i4>
      </vt:variant>
      <vt:variant>
        <vt:i4>5</vt:i4>
      </vt:variant>
      <vt:variant>
        <vt:lpwstr/>
      </vt:variant>
      <vt:variant>
        <vt:lpwstr>_ENREF_19</vt:lpwstr>
      </vt:variant>
      <vt:variant>
        <vt:i4>4194315</vt:i4>
      </vt:variant>
      <vt:variant>
        <vt:i4>160</vt:i4>
      </vt:variant>
      <vt:variant>
        <vt:i4>0</vt:i4>
      </vt:variant>
      <vt:variant>
        <vt:i4>5</vt:i4>
      </vt:variant>
      <vt:variant>
        <vt:lpwstr/>
      </vt:variant>
      <vt:variant>
        <vt:lpwstr>_ENREF_18</vt:lpwstr>
      </vt:variant>
      <vt:variant>
        <vt:i4>4194315</vt:i4>
      </vt:variant>
      <vt:variant>
        <vt:i4>154</vt:i4>
      </vt:variant>
      <vt:variant>
        <vt:i4>0</vt:i4>
      </vt:variant>
      <vt:variant>
        <vt:i4>5</vt:i4>
      </vt:variant>
      <vt:variant>
        <vt:lpwstr/>
      </vt:variant>
      <vt:variant>
        <vt:lpwstr>_ENREF_17</vt:lpwstr>
      </vt:variant>
      <vt:variant>
        <vt:i4>4194315</vt:i4>
      </vt:variant>
      <vt:variant>
        <vt:i4>148</vt:i4>
      </vt:variant>
      <vt:variant>
        <vt:i4>0</vt:i4>
      </vt:variant>
      <vt:variant>
        <vt:i4>5</vt:i4>
      </vt:variant>
      <vt:variant>
        <vt:lpwstr/>
      </vt:variant>
      <vt:variant>
        <vt:lpwstr>_ENREF_16</vt:lpwstr>
      </vt:variant>
      <vt:variant>
        <vt:i4>4194315</vt:i4>
      </vt:variant>
      <vt:variant>
        <vt:i4>142</vt:i4>
      </vt:variant>
      <vt:variant>
        <vt:i4>0</vt:i4>
      </vt:variant>
      <vt:variant>
        <vt:i4>5</vt:i4>
      </vt:variant>
      <vt:variant>
        <vt:lpwstr/>
      </vt:variant>
      <vt:variant>
        <vt:lpwstr>_ENREF_15</vt:lpwstr>
      </vt:variant>
      <vt:variant>
        <vt:i4>4194315</vt:i4>
      </vt:variant>
      <vt:variant>
        <vt:i4>139</vt:i4>
      </vt:variant>
      <vt:variant>
        <vt:i4>0</vt:i4>
      </vt:variant>
      <vt:variant>
        <vt:i4>5</vt:i4>
      </vt:variant>
      <vt:variant>
        <vt:lpwstr/>
      </vt:variant>
      <vt:variant>
        <vt:lpwstr>_ENREF_14</vt:lpwstr>
      </vt:variant>
      <vt:variant>
        <vt:i4>4194315</vt:i4>
      </vt:variant>
      <vt:variant>
        <vt:i4>131</vt:i4>
      </vt:variant>
      <vt:variant>
        <vt:i4>0</vt:i4>
      </vt:variant>
      <vt:variant>
        <vt:i4>5</vt:i4>
      </vt:variant>
      <vt:variant>
        <vt:lpwstr/>
      </vt:variant>
      <vt:variant>
        <vt:lpwstr>_ENREF_13</vt:lpwstr>
      </vt:variant>
      <vt:variant>
        <vt:i4>4194315</vt:i4>
      </vt:variant>
      <vt:variant>
        <vt:i4>128</vt:i4>
      </vt:variant>
      <vt:variant>
        <vt:i4>0</vt:i4>
      </vt:variant>
      <vt:variant>
        <vt:i4>5</vt:i4>
      </vt:variant>
      <vt:variant>
        <vt:lpwstr/>
      </vt:variant>
      <vt:variant>
        <vt:lpwstr>_ENREF_12</vt:lpwstr>
      </vt:variant>
      <vt:variant>
        <vt:i4>4194315</vt:i4>
      </vt:variant>
      <vt:variant>
        <vt:i4>120</vt:i4>
      </vt:variant>
      <vt:variant>
        <vt:i4>0</vt:i4>
      </vt:variant>
      <vt:variant>
        <vt:i4>5</vt:i4>
      </vt:variant>
      <vt:variant>
        <vt:lpwstr/>
      </vt:variant>
      <vt:variant>
        <vt:lpwstr>_ENREF_11</vt:lpwstr>
      </vt:variant>
      <vt:variant>
        <vt:i4>4194315</vt:i4>
      </vt:variant>
      <vt:variant>
        <vt:i4>117</vt:i4>
      </vt:variant>
      <vt:variant>
        <vt:i4>0</vt:i4>
      </vt:variant>
      <vt:variant>
        <vt:i4>5</vt:i4>
      </vt:variant>
      <vt:variant>
        <vt:lpwstr/>
      </vt:variant>
      <vt:variant>
        <vt:lpwstr>_ENREF_10</vt:lpwstr>
      </vt:variant>
      <vt:variant>
        <vt:i4>4194315</vt:i4>
      </vt:variant>
      <vt:variant>
        <vt:i4>109</vt:i4>
      </vt:variant>
      <vt:variant>
        <vt:i4>0</vt:i4>
      </vt:variant>
      <vt:variant>
        <vt:i4>5</vt:i4>
      </vt:variant>
      <vt:variant>
        <vt:lpwstr/>
      </vt:variant>
      <vt:variant>
        <vt:lpwstr>_ENREF_17</vt:lpwstr>
      </vt:variant>
      <vt:variant>
        <vt:i4>4194315</vt:i4>
      </vt:variant>
      <vt:variant>
        <vt:i4>106</vt:i4>
      </vt:variant>
      <vt:variant>
        <vt:i4>0</vt:i4>
      </vt:variant>
      <vt:variant>
        <vt:i4>5</vt:i4>
      </vt:variant>
      <vt:variant>
        <vt:lpwstr/>
      </vt:variant>
      <vt:variant>
        <vt:lpwstr>_ENREF_16</vt:lpwstr>
      </vt:variant>
      <vt:variant>
        <vt:i4>4194315</vt:i4>
      </vt:variant>
      <vt:variant>
        <vt:i4>98</vt:i4>
      </vt:variant>
      <vt:variant>
        <vt:i4>0</vt:i4>
      </vt:variant>
      <vt:variant>
        <vt:i4>5</vt:i4>
      </vt:variant>
      <vt:variant>
        <vt:lpwstr/>
      </vt:variant>
      <vt:variant>
        <vt:lpwstr>_ENREF_15</vt:lpwstr>
      </vt:variant>
      <vt:variant>
        <vt:i4>4194315</vt:i4>
      </vt:variant>
      <vt:variant>
        <vt:i4>95</vt:i4>
      </vt:variant>
      <vt:variant>
        <vt:i4>0</vt:i4>
      </vt:variant>
      <vt:variant>
        <vt:i4>5</vt:i4>
      </vt:variant>
      <vt:variant>
        <vt:lpwstr/>
      </vt:variant>
      <vt:variant>
        <vt:lpwstr>_ENREF_14</vt:lpwstr>
      </vt:variant>
      <vt:variant>
        <vt:i4>4194315</vt:i4>
      </vt:variant>
      <vt:variant>
        <vt:i4>87</vt:i4>
      </vt:variant>
      <vt:variant>
        <vt:i4>0</vt:i4>
      </vt:variant>
      <vt:variant>
        <vt:i4>5</vt:i4>
      </vt:variant>
      <vt:variant>
        <vt:lpwstr/>
      </vt:variant>
      <vt:variant>
        <vt:lpwstr>_ENREF_13</vt:lpwstr>
      </vt:variant>
      <vt:variant>
        <vt:i4>4194315</vt:i4>
      </vt:variant>
      <vt:variant>
        <vt:i4>84</vt:i4>
      </vt:variant>
      <vt:variant>
        <vt:i4>0</vt:i4>
      </vt:variant>
      <vt:variant>
        <vt:i4>5</vt:i4>
      </vt:variant>
      <vt:variant>
        <vt:lpwstr/>
      </vt:variant>
      <vt:variant>
        <vt:lpwstr>_ENREF_12</vt:lpwstr>
      </vt:variant>
      <vt:variant>
        <vt:i4>4194315</vt:i4>
      </vt:variant>
      <vt:variant>
        <vt:i4>76</vt:i4>
      </vt:variant>
      <vt:variant>
        <vt:i4>0</vt:i4>
      </vt:variant>
      <vt:variant>
        <vt:i4>5</vt:i4>
      </vt:variant>
      <vt:variant>
        <vt:lpwstr/>
      </vt:variant>
      <vt:variant>
        <vt:lpwstr>_ENREF_11</vt:lpwstr>
      </vt:variant>
      <vt:variant>
        <vt:i4>4194315</vt:i4>
      </vt:variant>
      <vt:variant>
        <vt:i4>73</vt:i4>
      </vt:variant>
      <vt:variant>
        <vt:i4>0</vt:i4>
      </vt:variant>
      <vt:variant>
        <vt:i4>5</vt:i4>
      </vt:variant>
      <vt:variant>
        <vt:lpwstr/>
      </vt:variant>
      <vt:variant>
        <vt:lpwstr>_ENREF_10</vt:lpwstr>
      </vt:variant>
      <vt:variant>
        <vt:i4>4194315</vt:i4>
      </vt:variant>
      <vt:variant>
        <vt:i4>65</vt:i4>
      </vt:variant>
      <vt:variant>
        <vt:i4>0</vt:i4>
      </vt:variant>
      <vt:variant>
        <vt:i4>5</vt:i4>
      </vt:variant>
      <vt:variant>
        <vt:lpwstr/>
      </vt:variant>
      <vt:variant>
        <vt:lpwstr>_ENREF_10</vt:lpwstr>
      </vt:variant>
      <vt:variant>
        <vt:i4>4718603</vt:i4>
      </vt:variant>
      <vt:variant>
        <vt:i4>62</vt:i4>
      </vt:variant>
      <vt:variant>
        <vt:i4>0</vt:i4>
      </vt:variant>
      <vt:variant>
        <vt:i4>5</vt:i4>
      </vt:variant>
      <vt:variant>
        <vt:lpwstr/>
      </vt:variant>
      <vt:variant>
        <vt:lpwstr>_ENREF_9</vt:lpwstr>
      </vt:variant>
      <vt:variant>
        <vt:i4>4784139</vt:i4>
      </vt:variant>
      <vt:variant>
        <vt:i4>54</vt:i4>
      </vt:variant>
      <vt:variant>
        <vt:i4>0</vt:i4>
      </vt:variant>
      <vt:variant>
        <vt:i4>5</vt:i4>
      </vt:variant>
      <vt:variant>
        <vt:lpwstr/>
      </vt:variant>
      <vt:variant>
        <vt:lpwstr>_ENREF_8</vt:lpwstr>
      </vt:variant>
      <vt:variant>
        <vt:i4>4587531</vt:i4>
      </vt:variant>
      <vt:variant>
        <vt:i4>51</vt:i4>
      </vt:variant>
      <vt:variant>
        <vt:i4>0</vt:i4>
      </vt:variant>
      <vt:variant>
        <vt:i4>5</vt:i4>
      </vt:variant>
      <vt:variant>
        <vt:lpwstr/>
      </vt:variant>
      <vt:variant>
        <vt:lpwstr>_ENREF_7</vt:lpwstr>
      </vt:variant>
      <vt:variant>
        <vt:i4>4653067</vt:i4>
      </vt:variant>
      <vt:variant>
        <vt:i4>43</vt:i4>
      </vt:variant>
      <vt:variant>
        <vt:i4>0</vt:i4>
      </vt:variant>
      <vt:variant>
        <vt:i4>5</vt:i4>
      </vt:variant>
      <vt:variant>
        <vt:lpwstr/>
      </vt:variant>
      <vt:variant>
        <vt:lpwstr>_ENREF_6</vt:lpwstr>
      </vt:variant>
      <vt:variant>
        <vt:i4>4456459</vt:i4>
      </vt:variant>
      <vt:variant>
        <vt:i4>37</vt:i4>
      </vt:variant>
      <vt:variant>
        <vt:i4>0</vt:i4>
      </vt:variant>
      <vt:variant>
        <vt:i4>5</vt:i4>
      </vt:variant>
      <vt:variant>
        <vt:lpwstr/>
      </vt:variant>
      <vt:variant>
        <vt:lpwstr>_ENREF_5</vt:lpwstr>
      </vt:variant>
      <vt:variant>
        <vt:i4>4456459</vt:i4>
      </vt:variant>
      <vt:variant>
        <vt:i4>31</vt:i4>
      </vt:variant>
      <vt:variant>
        <vt:i4>0</vt:i4>
      </vt:variant>
      <vt:variant>
        <vt:i4>5</vt:i4>
      </vt:variant>
      <vt:variant>
        <vt:lpwstr/>
      </vt:variant>
      <vt:variant>
        <vt:lpwstr>_ENREF_5</vt:lpwstr>
      </vt:variant>
      <vt:variant>
        <vt:i4>4521995</vt:i4>
      </vt:variant>
      <vt:variant>
        <vt:i4>28</vt:i4>
      </vt:variant>
      <vt:variant>
        <vt:i4>0</vt:i4>
      </vt:variant>
      <vt:variant>
        <vt:i4>5</vt:i4>
      </vt:variant>
      <vt:variant>
        <vt:lpwstr/>
      </vt:variant>
      <vt:variant>
        <vt:lpwstr>_ENREF_4</vt:lpwstr>
      </vt:variant>
      <vt:variant>
        <vt:i4>4325387</vt:i4>
      </vt:variant>
      <vt:variant>
        <vt:i4>20</vt:i4>
      </vt:variant>
      <vt:variant>
        <vt:i4>0</vt:i4>
      </vt:variant>
      <vt:variant>
        <vt:i4>5</vt:i4>
      </vt:variant>
      <vt:variant>
        <vt:lpwstr/>
      </vt:variant>
      <vt:variant>
        <vt:lpwstr>_ENREF_3</vt:lpwstr>
      </vt:variant>
      <vt:variant>
        <vt:i4>4194315</vt:i4>
      </vt:variant>
      <vt:variant>
        <vt:i4>14</vt:i4>
      </vt:variant>
      <vt:variant>
        <vt:i4>0</vt:i4>
      </vt:variant>
      <vt:variant>
        <vt:i4>5</vt:i4>
      </vt:variant>
      <vt:variant>
        <vt:lpwstr/>
      </vt:variant>
      <vt:variant>
        <vt:lpwstr>_ENREF_1</vt:lpwstr>
      </vt:variant>
      <vt:variant>
        <vt:i4>4390923</vt:i4>
      </vt:variant>
      <vt:variant>
        <vt:i4>8</vt:i4>
      </vt:variant>
      <vt:variant>
        <vt:i4>0</vt:i4>
      </vt:variant>
      <vt:variant>
        <vt:i4>5</vt:i4>
      </vt:variant>
      <vt:variant>
        <vt:lpwstr/>
      </vt:variant>
      <vt:variant>
        <vt:lpwstr>_ENREF_2</vt:lpwstr>
      </vt:variant>
      <vt:variant>
        <vt:i4>4194315</vt:i4>
      </vt:variant>
      <vt:variant>
        <vt:i4>2</vt:i4>
      </vt:variant>
      <vt:variant>
        <vt:i4>0</vt:i4>
      </vt:variant>
      <vt:variant>
        <vt:i4>5</vt:i4>
      </vt:variant>
      <vt:variant>
        <vt:lpwstr/>
      </vt:variant>
      <vt:variant>
        <vt:lpwstr>_ENREF_1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dc:title>
  <dc:creator>Wilma Stolk</dc:creator>
  <cp:lastModifiedBy>W.A. Stolk</cp:lastModifiedBy>
  <cp:revision>3</cp:revision>
  <cp:lastPrinted>2015-03-30T20:35:00Z</cp:lastPrinted>
  <dcterms:created xsi:type="dcterms:W3CDTF">2016-03-04T14:24:00Z</dcterms:created>
  <dcterms:modified xsi:type="dcterms:W3CDTF">2016-03-04T14:24:00Z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goAanUit">
    <vt:lpwstr>AAN</vt:lpwstr>
  </property>
  <property fmtid="{D5CDD505-2E9C-101B-9397-08002B2CF9AE}" pid="3" name="Taal">
    <vt:lpwstr>Engels</vt:lpwstr>
  </property>
  <property fmtid="{D5CDD505-2E9C-101B-9397-08002B2CF9AE}" pid="4" name="Logo">
    <vt:r8>0</vt:r8>
  </property>
  <property fmtid="{D5CDD505-2E9C-101B-9397-08002B2CF9AE}" pid="5" name="LogoVolg">
    <vt:r8>0</vt:r8>
  </property>
</Properties>
</file>