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99" w:rsidRPr="001D2854" w:rsidRDefault="00AB0EE6" w:rsidP="001D2854">
      <w:pPr>
        <w:spacing w:before="100" w:beforeAutospacing="1" w:after="100" w:afterAutospacing="1"/>
        <w:rPr>
          <w:rFonts w:asciiTheme="majorHAnsi" w:hAnsiTheme="majorHAnsi"/>
          <w:b/>
          <w:lang w:val="en-US"/>
        </w:rPr>
      </w:pPr>
      <w:bookmarkStart w:id="0" w:name="_GoBack"/>
      <w:bookmarkEnd w:id="0"/>
      <w:r>
        <w:rPr>
          <w:rFonts w:asciiTheme="majorHAnsi" w:hAnsiTheme="majorHAnsi"/>
          <w:b/>
          <w:lang w:val="en-US"/>
        </w:rPr>
        <w:t>Methods S1</w:t>
      </w:r>
    </w:p>
    <w:p w:rsidR="001D2854" w:rsidRPr="001D2854" w:rsidRDefault="001D2854" w:rsidP="001D2854">
      <w:pPr>
        <w:pStyle w:val="Ttulo4"/>
        <w:keepNext w:val="0"/>
        <w:widowControl w:val="0"/>
        <w:spacing w:before="100" w:beforeAutospacing="1" w:after="100" w:afterAutospacing="1" w:line="360" w:lineRule="auto"/>
        <w:rPr>
          <w:rFonts w:asciiTheme="majorHAnsi" w:hAnsiTheme="majorHAnsi"/>
          <w:sz w:val="22"/>
          <w:szCs w:val="22"/>
        </w:rPr>
      </w:pPr>
      <w:r w:rsidRPr="001D2854">
        <w:rPr>
          <w:rFonts w:asciiTheme="majorHAnsi" w:hAnsiTheme="majorHAnsi"/>
          <w:sz w:val="22"/>
          <w:szCs w:val="22"/>
        </w:rPr>
        <w:t>Malaria diagnosis by quantitative PCR</w:t>
      </w:r>
    </w:p>
    <w:p w:rsidR="001D2854" w:rsidRPr="001D2854" w:rsidRDefault="001D2854" w:rsidP="001D2854">
      <w:pPr>
        <w:pStyle w:val="Ttulo4"/>
        <w:keepNext w:val="0"/>
        <w:widowControl w:val="0"/>
        <w:spacing w:before="100" w:beforeAutospacing="1" w:after="100" w:afterAutospacing="1" w:line="360" w:lineRule="auto"/>
        <w:rPr>
          <w:rFonts w:asciiTheme="majorHAnsi" w:hAnsiTheme="majorHAnsi" w:cs="Arial"/>
          <w:b w:val="0"/>
          <w:sz w:val="22"/>
          <w:szCs w:val="22"/>
        </w:rPr>
      </w:pPr>
      <w:r w:rsidRPr="001D2854">
        <w:rPr>
          <w:rFonts w:asciiTheme="majorHAnsi" w:hAnsiTheme="majorHAnsi"/>
          <w:b w:val="0"/>
          <w:sz w:val="22"/>
          <w:szCs w:val="22"/>
        </w:rPr>
        <w:t xml:space="preserve">DNA templates for PCR amplification were isolated on a </w:t>
      </w:r>
      <w:proofErr w:type="spellStart"/>
      <w:r w:rsidRPr="001D2854">
        <w:rPr>
          <w:rFonts w:asciiTheme="majorHAnsi" w:hAnsiTheme="majorHAnsi"/>
          <w:b w:val="0"/>
          <w:sz w:val="22"/>
          <w:szCs w:val="22"/>
        </w:rPr>
        <w:t>QIAcube</w:t>
      </w:r>
      <w:proofErr w:type="spellEnd"/>
      <w:r w:rsidRPr="001D2854">
        <w:rPr>
          <w:rFonts w:asciiTheme="majorHAnsi" w:hAnsiTheme="majorHAnsi"/>
          <w:b w:val="0"/>
          <w:sz w:val="22"/>
          <w:szCs w:val="22"/>
        </w:rPr>
        <w:t xml:space="preserve"> automated platform (</w:t>
      </w:r>
      <w:proofErr w:type="spellStart"/>
      <w:r w:rsidRPr="001D2854">
        <w:rPr>
          <w:rFonts w:asciiTheme="majorHAnsi" w:hAnsiTheme="majorHAnsi"/>
          <w:b w:val="0"/>
          <w:sz w:val="22"/>
          <w:szCs w:val="22"/>
        </w:rPr>
        <w:t>Qiagen</w:t>
      </w:r>
      <w:proofErr w:type="spellEnd"/>
      <w:r w:rsidRPr="001D2854">
        <w:rPr>
          <w:rFonts w:asciiTheme="majorHAnsi" w:hAnsiTheme="majorHAnsi"/>
          <w:b w:val="0"/>
          <w:sz w:val="22"/>
          <w:szCs w:val="22"/>
        </w:rPr>
        <w:t xml:space="preserve">, Hilden, Germany), using </w:t>
      </w:r>
      <w:proofErr w:type="spellStart"/>
      <w:r w:rsidRPr="001D2854">
        <w:rPr>
          <w:rFonts w:asciiTheme="majorHAnsi" w:hAnsiTheme="majorHAnsi"/>
          <w:b w:val="0"/>
          <w:sz w:val="22"/>
          <w:szCs w:val="22"/>
        </w:rPr>
        <w:t>QIAamp</w:t>
      </w:r>
      <w:proofErr w:type="spellEnd"/>
      <w:r w:rsidRPr="001D2854">
        <w:rPr>
          <w:rFonts w:asciiTheme="majorHAnsi" w:hAnsiTheme="majorHAnsi"/>
          <w:b w:val="0"/>
          <w:sz w:val="22"/>
          <w:szCs w:val="22"/>
        </w:rPr>
        <w:t xml:space="preserve"> DNA blood kits (</w:t>
      </w:r>
      <w:proofErr w:type="spellStart"/>
      <w:r w:rsidRPr="001D2854">
        <w:rPr>
          <w:rFonts w:asciiTheme="majorHAnsi" w:hAnsiTheme="majorHAnsi"/>
          <w:b w:val="0"/>
          <w:sz w:val="22"/>
          <w:szCs w:val="22"/>
        </w:rPr>
        <w:t>Qiagen</w:t>
      </w:r>
      <w:proofErr w:type="spellEnd"/>
      <w:r w:rsidRPr="001D2854">
        <w:rPr>
          <w:rFonts w:asciiTheme="majorHAnsi" w:hAnsiTheme="majorHAnsi"/>
          <w:b w:val="0"/>
          <w:sz w:val="22"/>
          <w:szCs w:val="22"/>
        </w:rPr>
        <w:t xml:space="preserve">), from either 200 </w:t>
      </w:r>
      <w:r w:rsidRPr="001D2854">
        <w:rPr>
          <w:rFonts w:asciiTheme="majorHAnsi" w:hAnsiTheme="majorHAnsi"/>
          <w:b w:val="0"/>
          <w:sz w:val="22"/>
          <w:szCs w:val="22"/>
        </w:rPr>
        <w:sym w:font="Symbol" w:char="F06D"/>
      </w:r>
      <w:r w:rsidRPr="001D2854">
        <w:rPr>
          <w:rFonts w:asciiTheme="majorHAnsi" w:hAnsiTheme="majorHAnsi"/>
          <w:b w:val="0"/>
          <w:sz w:val="22"/>
          <w:szCs w:val="22"/>
        </w:rPr>
        <w:t>L of whole venous blood kept at -20</w:t>
      </w:r>
      <w:r w:rsidRPr="001D2854">
        <w:rPr>
          <w:rFonts w:asciiTheme="majorHAnsi" w:hAnsiTheme="majorHAnsi" w:cs="Arial"/>
          <w:b w:val="0"/>
          <w:sz w:val="22"/>
          <w:szCs w:val="22"/>
        </w:rPr>
        <w:t>°C</w:t>
      </w:r>
      <w:r w:rsidRPr="001D2854">
        <w:rPr>
          <w:rFonts w:asciiTheme="majorHAnsi" w:hAnsiTheme="majorHAnsi"/>
          <w:b w:val="0"/>
          <w:sz w:val="22"/>
          <w:szCs w:val="22"/>
        </w:rPr>
        <w:t xml:space="preserve"> or three 3-mm finger-prick bloodspots (corresponding to approximately 5 </w:t>
      </w:r>
      <w:r w:rsidRPr="001D2854">
        <w:rPr>
          <w:rFonts w:asciiTheme="majorHAnsi" w:hAnsiTheme="majorHAnsi"/>
          <w:b w:val="0"/>
          <w:sz w:val="22"/>
          <w:szCs w:val="22"/>
        </w:rPr>
        <w:sym w:font="Symbol" w:char="F06D"/>
      </w:r>
      <w:r w:rsidRPr="001D2854">
        <w:rPr>
          <w:rFonts w:asciiTheme="majorHAnsi" w:hAnsiTheme="majorHAnsi"/>
          <w:b w:val="0"/>
          <w:sz w:val="22"/>
          <w:szCs w:val="22"/>
        </w:rPr>
        <w:t>L of whole blood), which were excised from FTA Micro Cards (</w:t>
      </w:r>
      <w:proofErr w:type="spellStart"/>
      <w:r w:rsidRPr="001D2854">
        <w:rPr>
          <w:rFonts w:asciiTheme="majorHAnsi" w:hAnsiTheme="majorHAnsi"/>
          <w:b w:val="0"/>
          <w:sz w:val="22"/>
          <w:szCs w:val="22"/>
        </w:rPr>
        <w:t>Whatman</w:t>
      </w:r>
      <w:proofErr w:type="spellEnd"/>
      <w:r w:rsidRPr="001D2854">
        <w:rPr>
          <w:rFonts w:asciiTheme="majorHAnsi" w:hAnsiTheme="majorHAnsi"/>
          <w:b w:val="0"/>
          <w:sz w:val="22"/>
          <w:szCs w:val="22"/>
        </w:rPr>
        <w:t>, Clifton, NJ) kept at 4</w:t>
      </w:r>
      <w:r w:rsidRPr="001D2854">
        <w:rPr>
          <w:rFonts w:asciiTheme="majorHAnsi" w:hAnsiTheme="majorHAnsi" w:cs="Arial"/>
          <w:b w:val="0"/>
          <w:sz w:val="22"/>
          <w:szCs w:val="22"/>
        </w:rPr>
        <w:t>°C since blood collection</w:t>
      </w:r>
      <w:r w:rsidRPr="001D2854">
        <w:rPr>
          <w:rFonts w:asciiTheme="majorHAnsi" w:hAnsiTheme="majorHAnsi"/>
          <w:b w:val="0"/>
          <w:sz w:val="22"/>
          <w:szCs w:val="22"/>
        </w:rPr>
        <w:t xml:space="preserve">. </w:t>
      </w:r>
      <w:r w:rsidR="00B00865">
        <w:rPr>
          <w:rFonts w:asciiTheme="majorHAnsi" w:hAnsiTheme="majorHAnsi"/>
          <w:b w:val="0"/>
          <w:sz w:val="22"/>
          <w:szCs w:val="22"/>
        </w:rPr>
        <w:t xml:space="preserve">Final DNA elution volumes were 20 </w:t>
      </w:r>
      <w:r w:rsidR="00B00865" w:rsidRPr="001D2854">
        <w:rPr>
          <w:rFonts w:asciiTheme="majorHAnsi" w:hAnsiTheme="majorHAnsi"/>
          <w:b w:val="0"/>
          <w:sz w:val="22"/>
          <w:szCs w:val="22"/>
        </w:rPr>
        <w:sym w:font="Symbol" w:char="F06D"/>
      </w:r>
      <w:r w:rsidR="00B00865" w:rsidRPr="001D2854">
        <w:rPr>
          <w:rFonts w:asciiTheme="majorHAnsi" w:hAnsiTheme="majorHAnsi"/>
          <w:b w:val="0"/>
          <w:sz w:val="22"/>
          <w:szCs w:val="22"/>
        </w:rPr>
        <w:t>L</w:t>
      </w:r>
      <w:r w:rsidR="00B00865" w:rsidRPr="001D2854">
        <w:rPr>
          <w:rFonts w:asciiTheme="majorHAnsi" w:hAnsiTheme="majorHAnsi" w:cs="Arial"/>
          <w:b w:val="0"/>
          <w:sz w:val="22"/>
          <w:szCs w:val="22"/>
        </w:rPr>
        <w:t xml:space="preserve"> </w:t>
      </w:r>
      <w:r w:rsidR="00B00865">
        <w:rPr>
          <w:rFonts w:asciiTheme="majorHAnsi" w:hAnsiTheme="majorHAnsi" w:cs="Arial"/>
          <w:b w:val="0"/>
          <w:sz w:val="22"/>
          <w:szCs w:val="22"/>
        </w:rPr>
        <w:t xml:space="preserve">for bloodspots and 200 </w:t>
      </w:r>
      <w:r w:rsidR="00B00865" w:rsidRPr="001D2854">
        <w:rPr>
          <w:rFonts w:asciiTheme="majorHAnsi" w:hAnsiTheme="majorHAnsi"/>
          <w:b w:val="0"/>
          <w:sz w:val="22"/>
          <w:szCs w:val="22"/>
        </w:rPr>
        <w:sym w:font="Symbol" w:char="F06D"/>
      </w:r>
      <w:r w:rsidR="00B00865" w:rsidRPr="001D2854">
        <w:rPr>
          <w:rFonts w:asciiTheme="majorHAnsi" w:hAnsiTheme="majorHAnsi"/>
          <w:b w:val="0"/>
          <w:sz w:val="22"/>
          <w:szCs w:val="22"/>
        </w:rPr>
        <w:t>L</w:t>
      </w:r>
      <w:r w:rsidR="00B00865" w:rsidRPr="001D2854">
        <w:rPr>
          <w:rFonts w:asciiTheme="majorHAnsi" w:hAnsiTheme="majorHAnsi" w:cs="Arial"/>
          <w:b w:val="0"/>
          <w:sz w:val="22"/>
          <w:szCs w:val="22"/>
        </w:rPr>
        <w:t xml:space="preserve"> </w:t>
      </w:r>
      <w:r w:rsidR="00B00865">
        <w:rPr>
          <w:rFonts w:asciiTheme="majorHAnsi" w:hAnsiTheme="majorHAnsi" w:cs="Arial"/>
          <w:b w:val="0"/>
          <w:sz w:val="22"/>
          <w:szCs w:val="22"/>
        </w:rPr>
        <w:t xml:space="preserve">for whole blood. </w:t>
      </w:r>
      <w:r w:rsidRPr="001D2854">
        <w:rPr>
          <w:rFonts w:asciiTheme="majorHAnsi" w:hAnsiTheme="majorHAnsi" w:cs="Arial"/>
          <w:b w:val="0"/>
          <w:sz w:val="22"/>
          <w:szCs w:val="22"/>
        </w:rPr>
        <w:t>Each 20 µL reaction mixture contained 2 µL of sample</w:t>
      </w:r>
      <w:r w:rsidRPr="001D2854">
        <w:rPr>
          <w:rFonts w:asciiTheme="majorHAnsi" w:hAnsiTheme="majorHAnsi" w:cs="Arial"/>
          <w:b w:val="0"/>
          <w:sz w:val="22"/>
          <w:szCs w:val="22"/>
          <w:vertAlign w:val="superscript"/>
        </w:rPr>
        <w:t xml:space="preserve"> </w:t>
      </w:r>
      <w:r w:rsidRPr="001D2854">
        <w:rPr>
          <w:rFonts w:asciiTheme="majorHAnsi" w:hAnsiTheme="majorHAnsi" w:cs="Arial"/>
          <w:b w:val="0"/>
          <w:sz w:val="22"/>
          <w:szCs w:val="22"/>
        </w:rPr>
        <w:t>DNA</w:t>
      </w:r>
      <w:r w:rsidR="00B00865">
        <w:rPr>
          <w:rFonts w:asciiTheme="majorHAnsi" w:hAnsiTheme="majorHAnsi" w:cs="Arial"/>
          <w:b w:val="0"/>
          <w:sz w:val="22"/>
          <w:szCs w:val="22"/>
        </w:rPr>
        <w:t xml:space="preserve"> eluted by either method</w:t>
      </w:r>
      <w:r w:rsidR="009365B0">
        <w:rPr>
          <w:rFonts w:asciiTheme="majorHAnsi" w:hAnsiTheme="majorHAnsi" w:cs="Arial"/>
          <w:b w:val="0"/>
          <w:sz w:val="22"/>
          <w:szCs w:val="22"/>
        </w:rPr>
        <w:t xml:space="preserve"> (corresponding to approximately 2 </w:t>
      </w:r>
      <w:r w:rsidR="009365B0" w:rsidRPr="001D2854">
        <w:rPr>
          <w:rFonts w:asciiTheme="majorHAnsi" w:hAnsiTheme="majorHAnsi" w:cs="Arial"/>
          <w:b w:val="0"/>
          <w:sz w:val="22"/>
          <w:szCs w:val="22"/>
        </w:rPr>
        <w:t>µL</w:t>
      </w:r>
      <w:r w:rsidR="009365B0">
        <w:rPr>
          <w:rFonts w:asciiTheme="majorHAnsi" w:hAnsiTheme="majorHAnsi" w:cs="Arial"/>
          <w:b w:val="0"/>
          <w:sz w:val="22"/>
          <w:szCs w:val="22"/>
        </w:rPr>
        <w:t xml:space="preserve"> of venous blood or 0.5 </w:t>
      </w:r>
      <w:r w:rsidR="009365B0" w:rsidRPr="001D2854">
        <w:rPr>
          <w:rFonts w:asciiTheme="majorHAnsi" w:hAnsiTheme="majorHAnsi" w:cs="Arial"/>
          <w:b w:val="0"/>
          <w:sz w:val="22"/>
          <w:szCs w:val="22"/>
        </w:rPr>
        <w:t>µL</w:t>
      </w:r>
      <w:r w:rsidR="009365B0">
        <w:rPr>
          <w:rFonts w:asciiTheme="majorHAnsi" w:hAnsiTheme="majorHAnsi" w:cs="Arial"/>
          <w:b w:val="0"/>
          <w:sz w:val="22"/>
          <w:szCs w:val="22"/>
        </w:rPr>
        <w:t xml:space="preserve"> of finger-prick blood)</w:t>
      </w:r>
      <w:r w:rsidRPr="001D2854">
        <w:rPr>
          <w:rFonts w:asciiTheme="majorHAnsi" w:hAnsiTheme="majorHAnsi" w:cs="Arial"/>
          <w:b w:val="0"/>
          <w:sz w:val="22"/>
          <w:szCs w:val="22"/>
        </w:rPr>
        <w:t>, 10 µL of 2</w:t>
      </w:r>
      <w:r w:rsidRPr="001D2854">
        <w:rPr>
          <w:rFonts w:asciiTheme="majorHAnsi" w:hAnsiTheme="majorHAnsi" w:cs="Arial"/>
          <w:b w:val="0"/>
          <w:sz w:val="22"/>
          <w:szCs w:val="22"/>
        </w:rPr>
        <w:sym w:font="Symbol" w:char="F0B4"/>
      </w:r>
      <w:r w:rsidRPr="001D2854">
        <w:rPr>
          <w:rFonts w:asciiTheme="majorHAnsi" w:hAnsiTheme="majorHAnsi" w:cs="Arial"/>
          <w:b w:val="0"/>
          <w:sz w:val="22"/>
          <w:szCs w:val="22"/>
        </w:rPr>
        <w:t xml:space="preserve"> Maxima SYBR Green </w:t>
      </w:r>
      <w:proofErr w:type="spellStart"/>
      <w:r w:rsidRPr="001D2854">
        <w:rPr>
          <w:rFonts w:asciiTheme="majorHAnsi" w:hAnsiTheme="majorHAnsi" w:cs="Arial"/>
          <w:b w:val="0"/>
          <w:sz w:val="22"/>
          <w:szCs w:val="22"/>
        </w:rPr>
        <w:t>qPCR</w:t>
      </w:r>
      <w:proofErr w:type="spellEnd"/>
      <w:r w:rsidRPr="001D2854">
        <w:rPr>
          <w:rFonts w:asciiTheme="majorHAnsi" w:hAnsiTheme="majorHAnsi" w:cs="Arial"/>
          <w:b w:val="0"/>
          <w:sz w:val="22"/>
          <w:szCs w:val="22"/>
        </w:rPr>
        <w:t xml:space="preserve"> master mixture (</w:t>
      </w:r>
      <w:proofErr w:type="spellStart"/>
      <w:r w:rsidRPr="001D2854">
        <w:rPr>
          <w:rFonts w:asciiTheme="majorHAnsi" w:hAnsiTheme="majorHAnsi" w:cs="Arial"/>
          <w:b w:val="0"/>
          <w:sz w:val="22"/>
          <w:szCs w:val="22"/>
        </w:rPr>
        <w:t>Fermentas</w:t>
      </w:r>
      <w:proofErr w:type="spellEnd"/>
      <w:r w:rsidRPr="001D2854">
        <w:rPr>
          <w:rFonts w:asciiTheme="majorHAnsi" w:hAnsiTheme="majorHAnsi" w:cs="Arial"/>
          <w:b w:val="0"/>
          <w:sz w:val="22"/>
          <w:szCs w:val="22"/>
        </w:rPr>
        <w:t xml:space="preserve">, </w:t>
      </w:r>
      <w:r w:rsidRPr="001D2854">
        <w:rPr>
          <w:rFonts w:asciiTheme="majorHAnsi" w:hAnsiTheme="majorHAnsi"/>
          <w:b w:val="0"/>
          <w:sz w:val="22"/>
          <w:szCs w:val="22"/>
        </w:rPr>
        <w:t>Burlington</w:t>
      </w:r>
      <w:r w:rsidRPr="001D2854">
        <w:rPr>
          <w:rFonts w:asciiTheme="majorHAnsi" w:hAnsiTheme="majorHAnsi" w:cs="Arial"/>
          <w:b w:val="0"/>
          <w:sz w:val="22"/>
          <w:szCs w:val="22"/>
        </w:rPr>
        <w:t xml:space="preserve">, </w:t>
      </w:r>
      <w:r w:rsidRPr="001D2854">
        <w:rPr>
          <w:rFonts w:asciiTheme="majorHAnsi" w:hAnsiTheme="majorHAnsi" w:cs="Arial"/>
          <w:b w:val="0"/>
          <w:color w:val="000000"/>
          <w:sz w:val="22"/>
          <w:szCs w:val="22"/>
        </w:rPr>
        <w:t>Canada</w:t>
      </w:r>
      <w:r w:rsidRPr="001D2854">
        <w:rPr>
          <w:rFonts w:asciiTheme="majorHAnsi" w:hAnsiTheme="majorHAnsi" w:cs="Arial"/>
          <w:b w:val="0"/>
          <w:sz w:val="22"/>
          <w:szCs w:val="22"/>
        </w:rPr>
        <w:t xml:space="preserve">) and 0.5 </w:t>
      </w:r>
      <w:r w:rsidRPr="001D2854">
        <w:rPr>
          <w:rFonts w:asciiTheme="majorHAnsi" w:hAnsiTheme="majorHAnsi" w:cs="Arial"/>
          <w:b w:val="0"/>
          <w:sz w:val="22"/>
          <w:szCs w:val="22"/>
        </w:rPr>
        <w:sym w:font="Symbol" w:char="F06D"/>
      </w:r>
      <w:r w:rsidRPr="001D2854">
        <w:rPr>
          <w:rFonts w:asciiTheme="majorHAnsi" w:hAnsiTheme="majorHAnsi" w:cs="Arial"/>
          <w:b w:val="0"/>
          <w:sz w:val="22"/>
          <w:szCs w:val="22"/>
        </w:rPr>
        <w:t xml:space="preserve">M of each primer. We used the genus-specific primer P1 (ACG ATC AGA TAC CGT </w:t>
      </w:r>
      <w:proofErr w:type="spellStart"/>
      <w:r w:rsidRPr="001D2854">
        <w:rPr>
          <w:rFonts w:asciiTheme="majorHAnsi" w:hAnsiTheme="majorHAnsi" w:cs="Arial"/>
          <w:b w:val="0"/>
          <w:sz w:val="22"/>
          <w:szCs w:val="22"/>
        </w:rPr>
        <w:t>CGT</w:t>
      </w:r>
      <w:proofErr w:type="spellEnd"/>
      <w:r w:rsidRPr="001D2854">
        <w:rPr>
          <w:rFonts w:asciiTheme="majorHAnsi" w:hAnsiTheme="majorHAnsi" w:cs="Arial"/>
          <w:b w:val="0"/>
          <w:sz w:val="22"/>
          <w:szCs w:val="22"/>
        </w:rPr>
        <w:t xml:space="preserve"> AAT CTT) combined with either of the species-specific primers, V1 (CAA TCT AAG AAT AAA CTC CGA AGA GAA A) or F2 (CAA TCT AAA AGT CAC CTC GAA AGA TG), for </w:t>
      </w:r>
      <w:r w:rsidRPr="001D2854">
        <w:rPr>
          <w:rFonts w:asciiTheme="majorHAnsi" w:hAnsiTheme="majorHAnsi" w:cs="Arial"/>
          <w:b w:val="0"/>
          <w:i/>
          <w:sz w:val="22"/>
          <w:szCs w:val="22"/>
        </w:rPr>
        <w:t xml:space="preserve">P. </w:t>
      </w:r>
      <w:proofErr w:type="spellStart"/>
      <w:r w:rsidRPr="001D2854">
        <w:rPr>
          <w:rFonts w:asciiTheme="majorHAnsi" w:hAnsiTheme="majorHAnsi" w:cs="Arial"/>
          <w:b w:val="0"/>
          <w:i/>
          <w:sz w:val="22"/>
          <w:szCs w:val="22"/>
        </w:rPr>
        <w:t>vivax</w:t>
      </w:r>
      <w:proofErr w:type="spellEnd"/>
      <w:r w:rsidRPr="001D2854">
        <w:rPr>
          <w:rFonts w:asciiTheme="majorHAnsi" w:hAnsiTheme="majorHAnsi" w:cs="Arial"/>
          <w:b w:val="0"/>
          <w:i/>
          <w:sz w:val="22"/>
          <w:szCs w:val="22"/>
        </w:rPr>
        <w:t xml:space="preserve"> </w:t>
      </w:r>
      <w:r w:rsidRPr="001D2854">
        <w:rPr>
          <w:rFonts w:asciiTheme="majorHAnsi" w:hAnsiTheme="majorHAnsi" w:cs="Arial"/>
          <w:b w:val="0"/>
          <w:sz w:val="22"/>
          <w:szCs w:val="22"/>
        </w:rPr>
        <w:t xml:space="preserve">and </w:t>
      </w:r>
      <w:r w:rsidRPr="001D2854">
        <w:rPr>
          <w:rFonts w:asciiTheme="majorHAnsi" w:hAnsiTheme="majorHAnsi" w:cs="Arial"/>
          <w:b w:val="0"/>
          <w:i/>
          <w:sz w:val="22"/>
          <w:szCs w:val="22"/>
        </w:rPr>
        <w:t xml:space="preserve">P. falciparum, </w:t>
      </w:r>
      <w:r w:rsidRPr="001D2854">
        <w:rPr>
          <w:rFonts w:asciiTheme="majorHAnsi" w:hAnsiTheme="majorHAnsi" w:cs="Arial"/>
          <w:b w:val="0"/>
          <w:sz w:val="22"/>
          <w:szCs w:val="22"/>
        </w:rPr>
        <w:t xml:space="preserve">respectively </w:t>
      </w:r>
      <w:r w:rsidRPr="001D2854">
        <w:rPr>
          <w:rFonts w:asciiTheme="majorHAnsi" w:hAnsiTheme="majorHAnsi"/>
          <w:b w:val="0"/>
          <w:sz w:val="22"/>
          <w:szCs w:val="22"/>
        </w:rPr>
        <w:t>[22]</w:t>
      </w:r>
      <w:r w:rsidRPr="001D2854">
        <w:rPr>
          <w:rFonts w:asciiTheme="majorHAnsi" w:hAnsiTheme="majorHAnsi" w:cs="Arial"/>
          <w:b w:val="0"/>
          <w:sz w:val="22"/>
          <w:szCs w:val="22"/>
        </w:rPr>
        <w:t>. These primers allow the amplification of species-specific 100-base pair (</w:t>
      </w:r>
      <w:proofErr w:type="spellStart"/>
      <w:r w:rsidRPr="001D2854">
        <w:rPr>
          <w:rFonts w:asciiTheme="majorHAnsi" w:hAnsiTheme="majorHAnsi" w:cs="Arial"/>
          <w:b w:val="0"/>
          <w:sz w:val="22"/>
          <w:szCs w:val="22"/>
        </w:rPr>
        <w:t>bp</w:t>
      </w:r>
      <w:proofErr w:type="spellEnd"/>
      <w:r w:rsidRPr="001D2854">
        <w:rPr>
          <w:rFonts w:asciiTheme="majorHAnsi" w:hAnsiTheme="majorHAnsi" w:cs="Arial"/>
          <w:b w:val="0"/>
          <w:sz w:val="22"/>
          <w:szCs w:val="22"/>
        </w:rPr>
        <w:t>) fragments from three (</w:t>
      </w:r>
      <w:r w:rsidRPr="001D2854">
        <w:rPr>
          <w:rFonts w:asciiTheme="majorHAnsi" w:hAnsiTheme="majorHAnsi" w:cs="Arial"/>
          <w:b w:val="0"/>
          <w:i/>
          <w:sz w:val="22"/>
          <w:szCs w:val="22"/>
        </w:rPr>
        <w:t xml:space="preserve">P. </w:t>
      </w:r>
      <w:proofErr w:type="spellStart"/>
      <w:r w:rsidRPr="001D2854">
        <w:rPr>
          <w:rFonts w:asciiTheme="majorHAnsi" w:hAnsiTheme="majorHAnsi" w:cs="Arial"/>
          <w:b w:val="0"/>
          <w:i/>
          <w:sz w:val="22"/>
          <w:szCs w:val="22"/>
        </w:rPr>
        <w:t>vivax</w:t>
      </w:r>
      <w:proofErr w:type="spellEnd"/>
      <w:r w:rsidRPr="001D2854">
        <w:rPr>
          <w:rFonts w:asciiTheme="majorHAnsi" w:hAnsiTheme="majorHAnsi" w:cs="Arial"/>
          <w:b w:val="0"/>
          <w:sz w:val="22"/>
          <w:szCs w:val="22"/>
        </w:rPr>
        <w:t>) or five (</w:t>
      </w:r>
      <w:r w:rsidRPr="001D2854">
        <w:rPr>
          <w:rFonts w:asciiTheme="majorHAnsi" w:hAnsiTheme="majorHAnsi" w:cs="Arial"/>
          <w:b w:val="0"/>
          <w:i/>
          <w:sz w:val="22"/>
          <w:szCs w:val="22"/>
        </w:rPr>
        <w:t>P. falciparum</w:t>
      </w:r>
      <w:r w:rsidRPr="001D2854">
        <w:rPr>
          <w:rFonts w:asciiTheme="majorHAnsi" w:hAnsiTheme="majorHAnsi" w:cs="Arial"/>
          <w:b w:val="0"/>
          <w:sz w:val="22"/>
          <w:szCs w:val="22"/>
        </w:rPr>
        <w:t xml:space="preserve">) </w:t>
      </w:r>
      <w:r w:rsidRPr="001D2854">
        <w:rPr>
          <w:rFonts w:asciiTheme="majorHAnsi" w:hAnsiTheme="majorHAnsi"/>
          <w:b w:val="0"/>
          <w:i/>
          <w:iCs/>
          <w:sz w:val="22"/>
          <w:szCs w:val="22"/>
        </w:rPr>
        <w:t xml:space="preserve">18S </w:t>
      </w:r>
      <w:proofErr w:type="spellStart"/>
      <w:r w:rsidRPr="001D2854">
        <w:rPr>
          <w:rFonts w:asciiTheme="majorHAnsi" w:hAnsiTheme="majorHAnsi"/>
          <w:b w:val="0"/>
          <w:i/>
          <w:iCs/>
          <w:sz w:val="22"/>
          <w:szCs w:val="22"/>
        </w:rPr>
        <w:t>rRNA</w:t>
      </w:r>
      <w:proofErr w:type="spellEnd"/>
      <w:r w:rsidRPr="001D2854">
        <w:rPr>
          <w:rFonts w:asciiTheme="majorHAnsi" w:hAnsiTheme="majorHAnsi"/>
          <w:b w:val="0"/>
          <w:sz w:val="22"/>
          <w:szCs w:val="22"/>
        </w:rPr>
        <w:t xml:space="preserve"> gene </w:t>
      </w:r>
      <w:proofErr w:type="spellStart"/>
      <w:r w:rsidRPr="001D2854">
        <w:rPr>
          <w:rFonts w:asciiTheme="majorHAnsi" w:hAnsiTheme="majorHAnsi"/>
          <w:b w:val="0"/>
          <w:sz w:val="22"/>
          <w:szCs w:val="22"/>
        </w:rPr>
        <w:t>paralogs</w:t>
      </w:r>
      <w:proofErr w:type="spellEnd"/>
      <w:r w:rsidRPr="001D2854">
        <w:rPr>
          <w:rFonts w:asciiTheme="majorHAnsi" w:hAnsiTheme="majorHAnsi"/>
          <w:b w:val="0"/>
          <w:sz w:val="22"/>
          <w:szCs w:val="22"/>
        </w:rPr>
        <w:t xml:space="preserve"> found in the assembled genomes of these species (Sal-I and 3D7 strains, respectively)</w:t>
      </w:r>
      <w:r w:rsidRPr="001D2854">
        <w:rPr>
          <w:rFonts w:asciiTheme="majorHAnsi" w:hAnsiTheme="majorHAnsi" w:cs="Arial"/>
          <w:b w:val="0"/>
          <w:sz w:val="22"/>
          <w:szCs w:val="22"/>
        </w:rPr>
        <w:t xml:space="preserve">. </w:t>
      </w:r>
      <w:r w:rsidRPr="001D2854">
        <w:rPr>
          <w:rFonts w:asciiTheme="majorHAnsi" w:hAnsiTheme="majorHAnsi"/>
          <w:b w:val="0"/>
          <w:sz w:val="22"/>
          <w:szCs w:val="22"/>
        </w:rPr>
        <w:t xml:space="preserve">Standard curves were prepared with serial tenfold dilutions of the target sequence, cloned into </w:t>
      </w:r>
      <w:proofErr w:type="spellStart"/>
      <w:r w:rsidRPr="001D2854">
        <w:rPr>
          <w:rFonts w:asciiTheme="majorHAnsi" w:hAnsiTheme="majorHAnsi"/>
          <w:b w:val="0"/>
          <w:sz w:val="22"/>
          <w:szCs w:val="22"/>
        </w:rPr>
        <w:t>pGEM</w:t>
      </w:r>
      <w:proofErr w:type="spellEnd"/>
      <w:r w:rsidRPr="001D2854">
        <w:rPr>
          <w:rFonts w:asciiTheme="majorHAnsi" w:hAnsiTheme="majorHAnsi"/>
          <w:b w:val="0"/>
          <w:sz w:val="22"/>
          <w:szCs w:val="22"/>
        </w:rPr>
        <w:t>-T Easy vectors (</w:t>
      </w:r>
      <w:proofErr w:type="spellStart"/>
      <w:r w:rsidRPr="001D2854">
        <w:rPr>
          <w:rFonts w:asciiTheme="majorHAnsi" w:hAnsiTheme="majorHAnsi"/>
          <w:b w:val="0"/>
          <w:sz w:val="22"/>
          <w:szCs w:val="22"/>
        </w:rPr>
        <w:t>Promega</w:t>
      </w:r>
      <w:proofErr w:type="spellEnd"/>
      <w:r w:rsidRPr="001D2854">
        <w:rPr>
          <w:rFonts w:asciiTheme="majorHAnsi" w:hAnsiTheme="majorHAnsi"/>
          <w:b w:val="0"/>
          <w:sz w:val="22"/>
          <w:szCs w:val="22"/>
        </w:rPr>
        <w:t>, Madison, WI), to allow for species-specific quantitation of parasite loads (number of parasites/</w:t>
      </w:r>
      <w:r w:rsidRPr="001D2854">
        <w:rPr>
          <w:rFonts w:asciiTheme="majorHAnsi" w:hAnsiTheme="majorHAnsi"/>
          <w:b w:val="0"/>
          <w:sz w:val="22"/>
          <w:szCs w:val="22"/>
        </w:rPr>
        <w:sym w:font="Symbol" w:char="F06D"/>
      </w:r>
      <w:r w:rsidRPr="001D2854">
        <w:rPr>
          <w:rFonts w:asciiTheme="majorHAnsi" w:hAnsiTheme="majorHAnsi"/>
          <w:b w:val="0"/>
          <w:sz w:val="22"/>
          <w:szCs w:val="22"/>
        </w:rPr>
        <w:t xml:space="preserve">L of blood). </w:t>
      </w:r>
      <w:r w:rsidRPr="001D2854">
        <w:rPr>
          <w:rFonts w:asciiTheme="majorHAnsi" w:hAnsiTheme="majorHAnsi" w:cs="Arial"/>
          <w:b w:val="0"/>
          <w:sz w:val="22"/>
          <w:szCs w:val="22"/>
        </w:rPr>
        <w:t xml:space="preserve">For subjects co-infected with </w:t>
      </w:r>
      <w:r w:rsidRPr="001D2854">
        <w:rPr>
          <w:rFonts w:asciiTheme="majorHAnsi" w:hAnsiTheme="majorHAnsi" w:cs="Arial"/>
          <w:b w:val="0"/>
          <w:i/>
          <w:sz w:val="22"/>
          <w:szCs w:val="22"/>
        </w:rPr>
        <w:t xml:space="preserve">P. </w:t>
      </w:r>
      <w:proofErr w:type="spellStart"/>
      <w:r w:rsidRPr="001D2854">
        <w:rPr>
          <w:rFonts w:asciiTheme="majorHAnsi" w:hAnsiTheme="majorHAnsi" w:cs="Arial"/>
          <w:b w:val="0"/>
          <w:i/>
          <w:sz w:val="22"/>
          <w:szCs w:val="22"/>
        </w:rPr>
        <w:t>vivax</w:t>
      </w:r>
      <w:proofErr w:type="spellEnd"/>
      <w:r w:rsidRPr="001D2854">
        <w:rPr>
          <w:rFonts w:asciiTheme="majorHAnsi" w:hAnsiTheme="majorHAnsi" w:cs="Arial"/>
          <w:b w:val="0"/>
          <w:i/>
          <w:sz w:val="22"/>
          <w:szCs w:val="22"/>
        </w:rPr>
        <w:t xml:space="preserve"> </w:t>
      </w:r>
      <w:r w:rsidRPr="001D2854">
        <w:rPr>
          <w:rFonts w:asciiTheme="majorHAnsi" w:hAnsiTheme="majorHAnsi" w:cs="Arial"/>
          <w:b w:val="0"/>
          <w:sz w:val="22"/>
          <w:szCs w:val="22"/>
        </w:rPr>
        <w:t xml:space="preserve">and </w:t>
      </w:r>
      <w:r w:rsidRPr="001D2854">
        <w:rPr>
          <w:rFonts w:asciiTheme="majorHAnsi" w:hAnsiTheme="majorHAnsi" w:cs="Arial"/>
          <w:b w:val="0"/>
          <w:i/>
          <w:sz w:val="22"/>
          <w:szCs w:val="22"/>
        </w:rPr>
        <w:t>P. falciparum,</w:t>
      </w:r>
      <w:r w:rsidRPr="001D2854">
        <w:rPr>
          <w:rFonts w:asciiTheme="majorHAnsi" w:hAnsiTheme="majorHAnsi" w:cs="Arial"/>
          <w:b w:val="0"/>
          <w:sz w:val="22"/>
          <w:szCs w:val="22"/>
        </w:rPr>
        <w:t xml:space="preserve"> parasite counts</w:t>
      </w:r>
      <w:r w:rsidRPr="001D2854">
        <w:rPr>
          <w:rFonts w:asciiTheme="majorHAnsi" w:hAnsiTheme="majorHAnsi" w:cs="Arial"/>
          <w:b w:val="0"/>
          <w:i/>
          <w:sz w:val="22"/>
          <w:szCs w:val="22"/>
        </w:rPr>
        <w:t xml:space="preserve"> </w:t>
      </w:r>
      <w:r w:rsidRPr="001D2854">
        <w:rPr>
          <w:rFonts w:asciiTheme="majorHAnsi" w:hAnsiTheme="majorHAnsi" w:cs="Arial"/>
          <w:b w:val="0"/>
          <w:sz w:val="22"/>
          <w:szCs w:val="22"/>
        </w:rPr>
        <w:t xml:space="preserve">for each species were summed to calculate the total </w:t>
      </w:r>
      <w:proofErr w:type="spellStart"/>
      <w:r w:rsidRPr="001D2854">
        <w:rPr>
          <w:rFonts w:asciiTheme="majorHAnsi" w:hAnsiTheme="majorHAnsi" w:cs="Arial"/>
          <w:b w:val="0"/>
          <w:sz w:val="22"/>
          <w:szCs w:val="22"/>
        </w:rPr>
        <w:t>parasitemia</w:t>
      </w:r>
      <w:proofErr w:type="spellEnd"/>
      <w:r w:rsidRPr="001D2854">
        <w:rPr>
          <w:rFonts w:asciiTheme="majorHAnsi" w:hAnsiTheme="majorHAnsi" w:cs="Arial"/>
          <w:sz w:val="22"/>
          <w:szCs w:val="22"/>
        </w:rPr>
        <w:t xml:space="preserve">. </w:t>
      </w:r>
      <w:r w:rsidRPr="001D2854">
        <w:rPr>
          <w:rFonts w:asciiTheme="majorHAnsi" w:hAnsiTheme="majorHAnsi" w:cs="Arial"/>
          <w:b w:val="0"/>
          <w:sz w:val="22"/>
          <w:szCs w:val="22"/>
        </w:rPr>
        <w:t>We used a</w:t>
      </w:r>
      <w:r w:rsidRPr="001D2854">
        <w:rPr>
          <w:rFonts w:asciiTheme="majorHAnsi" w:hAnsiTheme="majorHAnsi" w:cs="Arial"/>
          <w:sz w:val="22"/>
          <w:szCs w:val="22"/>
        </w:rPr>
        <w:t xml:space="preserve"> </w:t>
      </w:r>
      <w:r w:rsidRPr="001D2854">
        <w:rPr>
          <w:rFonts w:asciiTheme="majorHAnsi" w:hAnsiTheme="majorHAnsi" w:cs="Arial"/>
          <w:b w:val="0"/>
          <w:sz w:val="22"/>
          <w:szCs w:val="22"/>
        </w:rPr>
        <w:t>Step One</w:t>
      </w:r>
      <w:r w:rsidRPr="001D2854">
        <w:rPr>
          <w:rFonts w:asciiTheme="majorHAnsi" w:hAnsiTheme="majorHAnsi" w:cs="Arial"/>
          <w:sz w:val="22"/>
          <w:szCs w:val="22"/>
        </w:rPr>
        <w:t xml:space="preserve"> </w:t>
      </w:r>
      <w:proofErr w:type="gramStart"/>
      <w:r w:rsidRPr="001D2854">
        <w:rPr>
          <w:rFonts w:asciiTheme="majorHAnsi" w:hAnsiTheme="majorHAnsi" w:cs="Arial"/>
          <w:b w:val="0"/>
          <w:sz w:val="22"/>
          <w:szCs w:val="22"/>
        </w:rPr>
        <w:t>Plus</w:t>
      </w:r>
      <w:proofErr w:type="gramEnd"/>
      <w:r w:rsidRPr="001D2854">
        <w:rPr>
          <w:rFonts w:asciiTheme="majorHAnsi" w:hAnsiTheme="majorHAnsi" w:cs="Arial"/>
          <w:b w:val="0"/>
          <w:sz w:val="22"/>
          <w:szCs w:val="22"/>
        </w:rPr>
        <w:t xml:space="preserve"> Real-Time PCR System (Applied </w:t>
      </w:r>
      <w:proofErr w:type="spellStart"/>
      <w:r w:rsidRPr="001D2854">
        <w:rPr>
          <w:rFonts w:asciiTheme="majorHAnsi" w:hAnsiTheme="majorHAnsi" w:cs="Arial"/>
          <w:b w:val="0"/>
          <w:sz w:val="22"/>
          <w:szCs w:val="22"/>
        </w:rPr>
        <w:t>Biosystems</w:t>
      </w:r>
      <w:proofErr w:type="spellEnd"/>
      <w:r w:rsidRPr="001D2854">
        <w:rPr>
          <w:rFonts w:asciiTheme="majorHAnsi" w:hAnsiTheme="majorHAnsi" w:cs="Arial"/>
          <w:b w:val="0"/>
          <w:sz w:val="22"/>
          <w:szCs w:val="22"/>
        </w:rPr>
        <w:t>, Foster City, CA) for PCR amplification with a template denaturation</w:t>
      </w:r>
      <w:r w:rsidRPr="001D2854">
        <w:rPr>
          <w:rFonts w:asciiTheme="majorHAnsi" w:hAnsiTheme="majorHAnsi" w:cs="Arial"/>
          <w:b w:val="0"/>
          <w:sz w:val="22"/>
          <w:szCs w:val="22"/>
          <w:vertAlign w:val="superscript"/>
        </w:rPr>
        <w:t xml:space="preserve"> </w:t>
      </w:r>
      <w:r w:rsidRPr="001D2854">
        <w:rPr>
          <w:rFonts w:asciiTheme="majorHAnsi" w:hAnsiTheme="majorHAnsi" w:cs="Arial"/>
          <w:b w:val="0"/>
          <w:sz w:val="22"/>
          <w:szCs w:val="22"/>
        </w:rPr>
        <w:t>step</w:t>
      </w:r>
      <w:r w:rsidRPr="001D2854">
        <w:rPr>
          <w:rFonts w:asciiTheme="majorHAnsi" w:hAnsiTheme="majorHAnsi" w:cs="Arial"/>
          <w:b w:val="0"/>
          <w:sz w:val="22"/>
          <w:szCs w:val="22"/>
          <w:vertAlign w:val="superscript"/>
        </w:rPr>
        <w:t xml:space="preserve"> </w:t>
      </w:r>
      <w:r w:rsidRPr="001D2854">
        <w:rPr>
          <w:rFonts w:asciiTheme="majorHAnsi" w:hAnsiTheme="majorHAnsi" w:cs="Arial"/>
          <w:b w:val="0"/>
          <w:sz w:val="22"/>
          <w:szCs w:val="22"/>
        </w:rPr>
        <w:t>at 95°C for 10 min, followed by 40 cycles of 15 sec at 95°C and 1 minute at 60°C, with fluorescence acquisition at the end of each extension step.</w:t>
      </w:r>
      <w:r w:rsidRPr="001D2854">
        <w:rPr>
          <w:rFonts w:asciiTheme="majorHAnsi" w:hAnsiTheme="majorHAnsi" w:cs="Arial"/>
          <w:b w:val="0"/>
          <w:sz w:val="22"/>
          <w:szCs w:val="22"/>
          <w:vertAlign w:val="superscript"/>
        </w:rPr>
        <w:t xml:space="preserve"> </w:t>
      </w:r>
      <w:r w:rsidRPr="001D2854">
        <w:rPr>
          <w:rFonts w:asciiTheme="majorHAnsi" w:hAnsiTheme="majorHAnsi" w:cs="Arial"/>
          <w:b w:val="0"/>
          <w:sz w:val="22"/>
          <w:szCs w:val="22"/>
        </w:rPr>
        <w:t>Amplification was immediately followed by a melting program consisting</w:t>
      </w:r>
      <w:r w:rsidRPr="001D2854">
        <w:rPr>
          <w:rFonts w:asciiTheme="majorHAnsi" w:hAnsiTheme="majorHAnsi" w:cs="Arial"/>
          <w:b w:val="0"/>
          <w:sz w:val="22"/>
          <w:szCs w:val="22"/>
          <w:vertAlign w:val="superscript"/>
        </w:rPr>
        <w:t xml:space="preserve"> </w:t>
      </w:r>
      <w:r w:rsidRPr="001D2854">
        <w:rPr>
          <w:rFonts w:asciiTheme="majorHAnsi" w:hAnsiTheme="majorHAnsi" w:cs="Arial"/>
          <w:b w:val="0"/>
          <w:sz w:val="22"/>
          <w:szCs w:val="22"/>
        </w:rPr>
        <w:t>of 15 sec at 95°C, 15 sec at 60°C, and a stepwise temperature</w:t>
      </w:r>
      <w:r w:rsidRPr="001D2854">
        <w:rPr>
          <w:rFonts w:asciiTheme="majorHAnsi" w:hAnsiTheme="majorHAnsi" w:cs="Arial"/>
          <w:b w:val="0"/>
          <w:sz w:val="22"/>
          <w:szCs w:val="22"/>
          <w:vertAlign w:val="superscript"/>
        </w:rPr>
        <w:t xml:space="preserve"> </w:t>
      </w:r>
      <w:r w:rsidRPr="001D2854">
        <w:rPr>
          <w:rFonts w:asciiTheme="majorHAnsi" w:hAnsiTheme="majorHAnsi" w:cs="Arial"/>
          <w:b w:val="0"/>
          <w:sz w:val="22"/>
          <w:szCs w:val="22"/>
        </w:rPr>
        <w:t>increase of 0.2°C/sec</w:t>
      </w:r>
      <w:r w:rsidRPr="001D2854">
        <w:rPr>
          <w:rFonts w:asciiTheme="majorHAnsi" w:hAnsiTheme="majorHAnsi" w:cs="Arial"/>
          <w:color w:val="303030"/>
          <w:sz w:val="22"/>
          <w:szCs w:val="22"/>
        </w:rPr>
        <w:t xml:space="preserve"> </w:t>
      </w:r>
      <w:r w:rsidRPr="001D2854">
        <w:rPr>
          <w:rFonts w:asciiTheme="majorHAnsi" w:hAnsiTheme="majorHAnsi" w:cs="Arial"/>
          <w:b w:val="0"/>
          <w:sz w:val="22"/>
          <w:szCs w:val="22"/>
        </w:rPr>
        <w:t>until 95°C, with fluorescence acquisition</w:t>
      </w:r>
      <w:r w:rsidRPr="001D2854">
        <w:rPr>
          <w:rFonts w:asciiTheme="majorHAnsi" w:hAnsiTheme="majorHAnsi" w:cs="Arial"/>
          <w:b w:val="0"/>
          <w:sz w:val="22"/>
          <w:szCs w:val="22"/>
          <w:vertAlign w:val="superscript"/>
        </w:rPr>
        <w:t xml:space="preserve"> </w:t>
      </w:r>
      <w:r w:rsidRPr="001D2854">
        <w:rPr>
          <w:rFonts w:asciiTheme="majorHAnsi" w:hAnsiTheme="majorHAnsi" w:cs="Arial"/>
          <w:b w:val="0"/>
          <w:sz w:val="22"/>
          <w:szCs w:val="22"/>
        </w:rPr>
        <w:t xml:space="preserve">at each temperature transition.  Standard curves accompanying each assay indicated that the detection threshold of this diagnostic </w:t>
      </w:r>
      <w:proofErr w:type="spellStart"/>
      <w:r w:rsidRPr="001D2854">
        <w:rPr>
          <w:rFonts w:asciiTheme="majorHAnsi" w:hAnsiTheme="majorHAnsi" w:cs="Arial"/>
          <w:b w:val="0"/>
          <w:sz w:val="22"/>
          <w:szCs w:val="22"/>
        </w:rPr>
        <w:t>qPCR</w:t>
      </w:r>
      <w:proofErr w:type="spellEnd"/>
      <w:r w:rsidRPr="001D2854">
        <w:rPr>
          <w:rFonts w:asciiTheme="majorHAnsi" w:hAnsiTheme="majorHAnsi" w:cs="Arial"/>
          <w:b w:val="0"/>
          <w:sz w:val="22"/>
          <w:szCs w:val="22"/>
        </w:rPr>
        <w:t xml:space="preserve"> is approximately 2 parasites/µL of blood for </w:t>
      </w:r>
      <w:r w:rsidRPr="001D2854">
        <w:rPr>
          <w:rFonts w:asciiTheme="majorHAnsi" w:hAnsiTheme="majorHAnsi" w:cs="Arial"/>
          <w:b w:val="0"/>
          <w:i/>
          <w:sz w:val="22"/>
          <w:szCs w:val="22"/>
        </w:rPr>
        <w:t>P. falciparum</w:t>
      </w:r>
      <w:r w:rsidRPr="001D2854">
        <w:rPr>
          <w:rFonts w:asciiTheme="majorHAnsi" w:hAnsiTheme="majorHAnsi" w:cs="Arial"/>
          <w:b w:val="0"/>
          <w:sz w:val="22"/>
          <w:szCs w:val="22"/>
        </w:rPr>
        <w:t xml:space="preserve"> and 3.3 parasites/µL of blood for </w:t>
      </w:r>
      <w:r w:rsidRPr="001D2854">
        <w:rPr>
          <w:rFonts w:asciiTheme="majorHAnsi" w:hAnsiTheme="majorHAnsi" w:cs="Arial"/>
          <w:b w:val="0"/>
          <w:i/>
          <w:sz w:val="22"/>
          <w:szCs w:val="22"/>
        </w:rPr>
        <w:t xml:space="preserve">P. </w:t>
      </w:r>
      <w:proofErr w:type="spellStart"/>
      <w:r w:rsidRPr="001D2854">
        <w:rPr>
          <w:rFonts w:asciiTheme="majorHAnsi" w:hAnsiTheme="majorHAnsi" w:cs="Arial"/>
          <w:b w:val="0"/>
          <w:i/>
          <w:sz w:val="22"/>
          <w:szCs w:val="22"/>
        </w:rPr>
        <w:t>vivax</w:t>
      </w:r>
      <w:proofErr w:type="spellEnd"/>
      <w:r w:rsidRPr="001D2854">
        <w:rPr>
          <w:rFonts w:asciiTheme="majorHAnsi" w:hAnsiTheme="majorHAnsi" w:cs="Arial"/>
          <w:b w:val="0"/>
          <w:sz w:val="22"/>
          <w:szCs w:val="22"/>
        </w:rPr>
        <w:t xml:space="preserve">.  No-template controls </w:t>
      </w:r>
      <w:r w:rsidRPr="001D2854">
        <w:rPr>
          <w:rFonts w:asciiTheme="majorHAnsi" w:hAnsiTheme="majorHAnsi" w:cs="Lucida Grande"/>
          <w:b w:val="0"/>
          <w:sz w:val="22"/>
          <w:szCs w:val="22"/>
        </w:rPr>
        <w:t>(containing all reagents for amplification except for the DNA template)</w:t>
      </w:r>
      <w:r w:rsidRPr="001D2854">
        <w:rPr>
          <w:rFonts w:asciiTheme="majorHAnsi" w:hAnsiTheme="majorHAnsi" w:cs="Arial"/>
          <w:b w:val="0"/>
          <w:sz w:val="22"/>
          <w:szCs w:val="22"/>
        </w:rPr>
        <w:t xml:space="preserve"> were run for every </w:t>
      </w:r>
      <w:proofErr w:type="spellStart"/>
      <w:r w:rsidRPr="001D2854">
        <w:rPr>
          <w:rFonts w:asciiTheme="majorHAnsi" w:hAnsiTheme="majorHAnsi" w:cs="Arial"/>
          <w:b w:val="0"/>
          <w:sz w:val="22"/>
          <w:szCs w:val="22"/>
        </w:rPr>
        <w:t>qPCR</w:t>
      </w:r>
      <w:proofErr w:type="spellEnd"/>
      <w:r w:rsidRPr="001D2854">
        <w:rPr>
          <w:rFonts w:asciiTheme="majorHAnsi" w:hAnsiTheme="majorHAnsi" w:cs="Arial"/>
          <w:b w:val="0"/>
          <w:sz w:val="22"/>
          <w:szCs w:val="22"/>
        </w:rPr>
        <w:t xml:space="preserve"> </w:t>
      </w:r>
      <w:proofErr w:type="spellStart"/>
      <w:r w:rsidRPr="001D2854">
        <w:rPr>
          <w:rFonts w:asciiTheme="majorHAnsi" w:hAnsiTheme="majorHAnsi" w:cs="Arial"/>
          <w:b w:val="0"/>
          <w:sz w:val="22"/>
          <w:szCs w:val="22"/>
        </w:rPr>
        <w:t>microplate</w:t>
      </w:r>
      <w:proofErr w:type="spellEnd"/>
      <w:r w:rsidRPr="001D2854">
        <w:rPr>
          <w:rFonts w:asciiTheme="majorHAnsi" w:hAnsiTheme="majorHAnsi" w:cs="Arial"/>
          <w:b w:val="0"/>
          <w:sz w:val="22"/>
          <w:szCs w:val="22"/>
        </w:rPr>
        <w:t>.</w:t>
      </w:r>
    </w:p>
    <w:p w:rsidR="001D2854" w:rsidRPr="001D2854" w:rsidRDefault="001D2854" w:rsidP="001D2854">
      <w:pPr>
        <w:rPr>
          <w:rFonts w:asciiTheme="majorHAnsi" w:hAnsiTheme="majorHAnsi"/>
          <w:b/>
          <w:lang w:val="en-US" w:eastAsia="pt-BR"/>
        </w:rPr>
      </w:pPr>
      <w:r w:rsidRPr="001D2854">
        <w:rPr>
          <w:rFonts w:asciiTheme="majorHAnsi" w:hAnsiTheme="majorHAnsi"/>
          <w:b/>
          <w:lang w:val="en-US" w:eastAsia="pt-BR"/>
        </w:rPr>
        <w:t xml:space="preserve">Detection of </w:t>
      </w:r>
      <w:r w:rsidRPr="001D2854">
        <w:rPr>
          <w:rFonts w:asciiTheme="majorHAnsi" w:hAnsiTheme="majorHAnsi"/>
          <w:b/>
          <w:i/>
          <w:lang w:val="en-US" w:eastAsia="pt-BR"/>
        </w:rPr>
        <w:t xml:space="preserve">Plasmodium </w:t>
      </w:r>
      <w:proofErr w:type="spellStart"/>
      <w:r w:rsidRPr="001D2854">
        <w:rPr>
          <w:rFonts w:asciiTheme="majorHAnsi" w:hAnsiTheme="majorHAnsi"/>
          <w:b/>
          <w:i/>
          <w:lang w:val="en-US" w:eastAsia="pt-BR"/>
        </w:rPr>
        <w:t>vivax</w:t>
      </w:r>
      <w:proofErr w:type="spellEnd"/>
      <w:r w:rsidRPr="001D2854">
        <w:rPr>
          <w:rFonts w:asciiTheme="majorHAnsi" w:hAnsiTheme="majorHAnsi"/>
          <w:b/>
          <w:i/>
          <w:lang w:val="en-US" w:eastAsia="pt-BR"/>
        </w:rPr>
        <w:t xml:space="preserve"> </w:t>
      </w:r>
      <w:r w:rsidRPr="001D2854">
        <w:rPr>
          <w:rFonts w:asciiTheme="majorHAnsi" w:hAnsiTheme="majorHAnsi"/>
          <w:b/>
          <w:lang w:val="en-US" w:eastAsia="pt-BR"/>
        </w:rPr>
        <w:t>gametocyte-specific gene transcripts by quantitative reverse transcriptase PCR</w:t>
      </w:r>
    </w:p>
    <w:p w:rsidR="001D2854" w:rsidRPr="001D2854" w:rsidRDefault="001D2854" w:rsidP="001D2854">
      <w:pPr>
        <w:rPr>
          <w:rFonts w:asciiTheme="majorHAnsi" w:hAnsiTheme="majorHAnsi"/>
          <w:lang w:val="en-US" w:eastAsia="pt-BR"/>
        </w:rPr>
      </w:pPr>
    </w:p>
    <w:p w:rsidR="001D2854" w:rsidRPr="001D2854" w:rsidRDefault="001D2854" w:rsidP="001D2854">
      <w:pPr>
        <w:rPr>
          <w:rFonts w:asciiTheme="majorHAnsi" w:hAnsiTheme="majorHAnsi" w:cs="Arial"/>
          <w:lang w:val="en-US"/>
        </w:rPr>
      </w:pPr>
      <w:r w:rsidRPr="001D2854">
        <w:rPr>
          <w:rFonts w:asciiTheme="majorHAnsi" w:hAnsiTheme="majorHAnsi" w:cs="Courier New"/>
          <w:lang w:val="en-US"/>
        </w:rPr>
        <w:t xml:space="preserve">Venous blood samples collected from 55 </w:t>
      </w:r>
      <w:r w:rsidRPr="001D2854">
        <w:rPr>
          <w:rFonts w:asciiTheme="majorHAnsi" w:hAnsiTheme="majorHAnsi" w:cs="Courier New"/>
          <w:i/>
          <w:lang w:val="en-US"/>
        </w:rPr>
        <w:t xml:space="preserve">P. </w:t>
      </w:r>
      <w:proofErr w:type="spellStart"/>
      <w:r w:rsidRPr="001D2854">
        <w:rPr>
          <w:rFonts w:asciiTheme="majorHAnsi" w:hAnsiTheme="majorHAnsi" w:cs="Courier New"/>
          <w:i/>
          <w:lang w:val="en-US"/>
        </w:rPr>
        <w:t>vivax</w:t>
      </w:r>
      <w:proofErr w:type="spellEnd"/>
      <w:r w:rsidRPr="001D2854">
        <w:rPr>
          <w:rFonts w:asciiTheme="majorHAnsi" w:hAnsiTheme="majorHAnsi" w:cs="Courier New"/>
          <w:lang w:val="en-US"/>
        </w:rPr>
        <w:t xml:space="preserve"> infections during cross-sectional surveys 4, 5, and 6 were cryopreserved at -70°C or in liquid nitrogen in our field laboratory and shipped to São Paulo in liquid nitrogen for </w:t>
      </w:r>
      <w:r w:rsidRPr="001D2854">
        <w:rPr>
          <w:rFonts w:asciiTheme="majorHAnsi" w:hAnsiTheme="majorHAnsi" w:cs="Arial"/>
          <w:color w:val="000000"/>
          <w:lang w:val="en-US"/>
        </w:rPr>
        <w:t xml:space="preserve">RNA isolation. </w:t>
      </w:r>
      <w:r w:rsidR="00C6063D">
        <w:rPr>
          <w:rFonts w:asciiTheme="majorHAnsi" w:hAnsiTheme="majorHAnsi" w:cs="Arial"/>
          <w:color w:val="000000"/>
          <w:lang w:val="en-US"/>
        </w:rPr>
        <w:t xml:space="preserve">All samples yielded a positive </w:t>
      </w:r>
      <w:proofErr w:type="spellStart"/>
      <w:r w:rsidR="00C6063D">
        <w:rPr>
          <w:rFonts w:asciiTheme="majorHAnsi" w:hAnsiTheme="majorHAnsi" w:cs="Arial"/>
          <w:color w:val="000000"/>
          <w:lang w:val="en-US"/>
        </w:rPr>
        <w:t>qPCR</w:t>
      </w:r>
      <w:proofErr w:type="spellEnd"/>
      <w:r w:rsidR="00C6063D">
        <w:rPr>
          <w:rFonts w:asciiTheme="majorHAnsi" w:hAnsiTheme="majorHAnsi" w:cs="Arial"/>
          <w:color w:val="000000"/>
          <w:lang w:val="en-US"/>
        </w:rPr>
        <w:t xml:space="preserve"> for </w:t>
      </w:r>
      <w:r w:rsidR="00C6063D" w:rsidRPr="00C6063D">
        <w:rPr>
          <w:rFonts w:asciiTheme="majorHAnsi" w:hAnsiTheme="majorHAnsi" w:cs="Arial"/>
          <w:i/>
          <w:color w:val="000000"/>
          <w:lang w:val="en-US"/>
        </w:rPr>
        <w:t xml:space="preserve">P. </w:t>
      </w:r>
      <w:proofErr w:type="spellStart"/>
      <w:r w:rsidR="00C6063D" w:rsidRPr="00C6063D">
        <w:rPr>
          <w:rFonts w:asciiTheme="majorHAnsi" w:hAnsiTheme="majorHAnsi" w:cs="Arial"/>
          <w:i/>
          <w:color w:val="000000"/>
          <w:lang w:val="en-US"/>
        </w:rPr>
        <w:t>vivax</w:t>
      </w:r>
      <w:proofErr w:type="spellEnd"/>
      <w:r w:rsidR="00C6063D" w:rsidRPr="00C6063D">
        <w:rPr>
          <w:rFonts w:asciiTheme="majorHAnsi" w:hAnsiTheme="majorHAnsi" w:cs="Arial"/>
          <w:i/>
          <w:color w:val="000000"/>
          <w:lang w:val="en-US"/>
        </w:rPr>
        <w:t xml:space="preserve"> </w:t>
      </w:r>
      <w:r w:rsidR="00C6063D">
        <w:rPr>
          <w:rFonts w:asciiTheme="majorHAnsi" w:hAnsiTheme="majorHAnsi" w:cs="Arial"/>
          <w:color w:val="000000"/>
          <w:lang w:val="en-US"/>
        </w:rPr>
        <w:t xml:space="preserve">only, being 27 missed by microscopy and 28 confirmed by microscopy. </w:t>
      </w:r>
      <w:r w:rsidRPr="001D2854">
        <w:rPr>
          <w:rFonts w:asciiTheme="majorHAnsi" w:hAnsiTheme="majorHAnsi" w:cs="Arial"/>
          <w:color w:val="000000"/>
          <w:lang w:val="en-US"/>
        </w:rPr>
        <w:t>We processed 200-</w:t>
      </w:r>
      <w:r w:rsidRPr="001D2854">
        <w:rPr>
          <w:rFonts w:asciiTheme="majorHAnsi" w:hAnsiTheme="majorHAnsi"/>
          <w:lang w:val="en-US"/>
        </w:rPr>
        <w:sym w:font="Symbol" w:char="F06D"/>
      </w:r>
      <w:r w:rsidRPr="001D2854">
        <w:rPr>
          <w:rFonts w:asciiTheme="majorHAnsi" w:hAnsiTheme="majorHAnsi"/>
          <w:lang w:val="en-US"/>
        </w:rPr>
        <w:t>l</w:t>
      </w:r>
      <w:r w:rsidRPr="001D2854">
        <w:rPr>
          <w:rFonts w:asciiTheme="majorHAnsi" w:hAnsiTheme="majorHAnsi" w:cs="Arial"/>
          <w:color w:val="000000"/>
          <w:lang w:val="en-US"/>
        </w:rPr>
        <w:t xml:space="preserve"> aliquots of these cryopreserved samples using the </w:t>
      </w:r>
      <w:proofErr w:type="spellStart"/>
      <w:r w:rsidRPr="001D2854">
        <w:rPr>
          <w:rFonts w:asciiTheme="majorHAnsi" w:hAnsiTheme="majorHAnsi" w:cs="Arial"/>
          <w:color w:val="000000"/>
          <w:lang w:val="en-US"/>
        </w:rPr>
        <w:t>QIAmp</w:t>
      </w:r>
      <w:proofErr w:type="spellEnd"/>
      <w:r w:rsidRPr="001D2854">
        <w:rPr>
          <w:rFonts w:asciiTheme="majorHAnsi" w:hAnsiTheme="majorHAnsi" w:cs="Arial"/>
          <w:color w:val="000000"/>
          <w:lang w:val="en-US"/>
        </w:rPr>
        <w:t xml:space="preserve"> Viral RNA Mini Kit (</w:t>
      </w:r>
      <w:proofErr w:type="spellStart"/>
      <w:r w:rsidRPr="001D2854">
        <w:rPr>
          <w:rFonts w:asciiTheme="majorHAnsi" w:hAnsiTheme="majorHAnsi" w:cs="Arial"/>
          <w:color w:val="000000"/>
          <w:lang w:val="en-US"/>
        </w:rPr>
        <w:t>Qiagen</w:t>
      </w:r>
      <w:proofErr w:type="spellEnd"/>
      <w:r w:rsidRPr="001D2854">
        <w:rPr>
          <w:rFonts w:asciiTheme="majorHAnsi" w:hAnsiTheme="majorHAnsi" w:cs="Arial"/>
          <w:color w:val="000000"/>
          <w:lang w:val="en-US"/>
        </w:rPr>
        <w:t xml:space="preserve">) and eluted RNA was treated with </w:t>
      </w:r>
      <w:proofErr w:type="spellStart"/>
      <w:r w:rsidRPr="001D2854">
        <w:rPr>
          <w:rFonts w:asciiTheme="majorHAnsi" w:hAnsiTheme="majorHAnsi" w:cs="Arial"/>
          <w:color w:val="000000"/>
          <w:lang w:val="en-US"/>
        </w:rPr>
        <w:t>RNAse</w:t>
      </w:r>
      <w:proofErr w:type="spellEnd"/>
      <w:r w:rsidRPr="001D2854">
        <w:rPr>
          <w:rFonts w:asciiTheme="majorHAnsi" w:hAnsiTheme="majorHAnsi" w:cs="Arial"/>
          <w:color w:val="000000"/>
          <w:lang w:val="en-US"/>
        </w:rPr>
        <w:t xml:space="preserve">-free </w:t>
      </w:r>
      <w:proofErr w:type="spellStart"/>
      <w:r w:rsidRPr="001D2854">
        <w:rPr>
          <w:rFonts w:asciiTheme="majorHAnsi" w:hAnsiTheme="majorHAnsi" w:cs="Arial"/>
          <w:color w:val="000000"/>
          <w:lang w:val="en-US"/>
        </w:rPr>
        <w:t>DNAse</w:t>
      </w:r>
      <w:proofErr w:type="spellEnd"/>
      <w:r w:rsidRPr="001D2854">
        <w:rPr>
          <w:rFonts w:asciiTheme="majorHAnsi" w:hAnsiTheme="majorHAnsi" w:cs="Arial"/>
          <w:color w:val="000000"/>
          <w:lang w:val="en-US"/>
        </w:rPr>
        <w:t xml:space="preserve"> (</w:t>
      </w:r>
      <w:proofErr w:type="spellStart"/>
      <w:r w:rsidRPr="001D2854">
        <w:rPr>
          <w:rFonts w:asciiTheme="majorHAnsi" w:hAnsiTheme="majorHAnsi" w:cs="Arial"/>
          <w:color w:val="000000"/>
          <w:lang w:val="en-US"/>
        </w:rPr>
        <w:t>Fermentas</w:t>
      </w:r>
      <w:proofErr w:type="spellEnd"/>
      <w:r w:rsidRPr="001D2854">
        <w:rPr>
          <w:rFonts w:asciiTheme="majorHAnsi" w:hAnsiTheme="majorHAnsi" w:cs="Arial"/>
          <w:color w:val="000000"/>
          <w:lang w:val="en-US"/>
        </w:rPr>
        <w:t xml:space="preserve">) for removal of residual genomic DNA from templates for complementary DNA synthesis. For </w:t>
      </w:r>
      <w:r w:rsidRPr="001D2854">
        <w:rPr>
          <w:rFonts w:asciiTheme="majorHAnsi" w:hAnsiTheme="majorHAnsi"/>
          <w:lang w:val="en-US"/>
        </w:rPr>
        <w:t xml:space="preserve">SYBR green </w:t>
      </w:r>
      <w:proofErr w:type="spellStart"/>
      <w:r w:rsidRPr="001D2854">
        <w:rPr>
          <w:rFonts w:asciiTheme="majorHAnsi" w:hAnsiTheme="majorHAnsi"/>
          <w:lang w:val="en-US"/>
        </w:rPr>
        <w:t>qRT</w:t>
      </w:r>
      <w:proofErr w:type="spellEnd"/>
      <w:r w:rsidRPr="001D2854">
        <w:rPr>
          <w:rFonts w:asciiTheme="majorHAnsi" w:hAnsiTheme="majorHAnsi"/>
          <w:lang w:val="en-US"/>
        </w:rPr>
        <w:t xml:space="preserve">-PCR, we used </w:t>
      </w:r>
      <w:r w:rsidRPr="001D2854">
        <w:rPr>
          <w:rFonts w:asciiTheme="majorHAnsi" w:hAnsiTheme="majorHAnsi" w:cs="Lucida Grande"/>
          <w:lang w:val="en-US"/>
        </w:rPr>
        <w:t xml:space="preserve">the oligonucleotide primers (forward, AAC GAA GGG CTG GTG CAC CTT T; reverse, AGC AAC CTG CAC TTT GGA TTT CCG) designed by Bharti and colleagues [25] to amplify a 267-bp fragment of the </w:t>
      </w:r>
      <w:r w:rsidRPr="001D2854">
        <w:rPr>
          <w:rFonts w:asciiTheme="majorHAnsi" w:hAnsiTheme="majorHAnsi" w:cs="Lucida Grande"/>
          <w:i/>
          <w:iCs/>
          <w:lang w:val="en-US"/>
        </w:rPr>
        <w:t>Pvs25</w:t>
      </w:r>
      <w:r w:rsidRPr="001D2854">
        <w:rPr>
          <w:rFonts w:asciiTheme="majorHAnsi" w:hAnsiTheme="majorHAnsi" w:cs="Lucida Grande"/>
          <w:lang w:val="en-US"/>
        </w:rPr>
        <w:t xml:space="preserve"> gene.</w:t>
      </w:r>
      <w:r w:rsidRPr="001D2854">
        <w:rPr>
          <w:rFonts w:asciiTheme="majorHAnsi" w:hAnsiTheme="majorHAnsi"/>
          <w:lang w:val="en-US"/>
        </w:rPr>
        <w:t xml:space="preserve"> This gene fragment was cloned into the </w:t>
      </w:r>
      <w:proofErr w:type="spellStart"/>
      <w:r w:rsidRPr="001D2854">
        <w:rPr>
          <w:rFonts w:asciiTheme="majorHAnsi" w:hAnsiTheme="majorHAnsi"/>
          <w:lang w:val="en-US"/>
        </w:rPr>
        <w:t>pGEM</w:t>
      </w:r>
      <w:proofErr w:type="spellEnd"/>
      <w:r w:rsidRPr="001D2854">
        <w:rPr>
          <w:rFonts w:asciiTheme="majorHAnsi" w:hAnsiTheme="majorHAnsi"/>
          <w:lang w:val="en-US"/>
        </w:rPr>
        <w:t>-T Easy plasmid vectors (</w:t>
      </w:r>
      <w:proofErr w:type="spellStart"/>
      <w:r w:rsidRPr="001D2854">
        <w:rPr>
          <w:rFonts w:asciiTheme="majorHAnsi" w:hAnsiTheme="majorHAnsi"/>
          <w:lang w:val="en-US"/>
        </w:rPr>
        <w:t>Promega</w:t>
      </w:r>
      <w:proofErr w:type="spellEnd"/>
      <w:r w:rsidRPr="001D2854">
        <w:rPr>
          <w:rFonts w:asciiTheme="majorHAnsi" w:hAnsiTheme="majorHAnsi"/>
          <w:lang w:val="en-US"/>
        </w:rPr>
        <w:t xml:space="preserve">) to prepare a standard curve </w:t>
      </w:r>
      <w:r w:rsidRPr="001D2854">
        <w:rPr>
          <w:rFonts w:asciiTheme="majorHAnsi" w:hAnsiTheme="majorHAnsi" w:cs="Lucida Grande"/>
          <w:lang w:val="en-US"/>
        </w:rPr>
        <w:t xml:space="preserve">used in each PCR </w:t>
      </w:r>
      <w:proofErr w:type="spellStart"/>
      <w:r w:rsidRPr="001D2854">
        <w:rPr>
          <w:rFonts w:asciiTheme="majorHAnsi" w:hAnsiTheme="majorHAnsi" w:cs="Lucida Grande"/>
          <w:lang w:val="en-US"/>
        </w:rPr>
        <w:t>microplate</w:t>
      </w:r>
      <w:proofErr w:type="spellEnd"/>
      <w:r w:rsidRPr="001D2854">
        <w:rPr>
          <w:rFonts w:asciiTheme="majorHAnsi" w:eastAsia="DejaVu Sans" w:hAnsiTheme="majorHAnsi" w:cs="Courier New"/>
          <w:kern w:val="1"/>
          <w:lang w:val="en-US"/>
        </w:rPr>
        <w:t xml:space="preserve">. Real-time PCR was carried out in triplicate, on a </w:t>
      </w:r>
      <w:proofErr w:type="spellStart"/>
      <w:r w:rsidRPr="001D2854">
        <w:rPr>
          <w:rFonts w:asciiTheme="majorHAnsi" w:hAnsiTheme="majorHAnsi" w:cs="Arial"/>
          <w:lang w:val="en-US"/>
        </w:rPr>
        <w:t>Mastercycler</w:t>
      </w:r>
      <w:proofErr w:type="spellEnd"/>
      <w:r w:rsidRPr="001D2854">
        <w:rPr>
          <w:rFonts w:asciiTheme="majorHAnsi" w:hAnsiTheme="majorHAnsi" w:cs="Arial"/>
          <w:lang w:val="en-US"/>
        </w:rPr>
        <w:t xml:space="preserve"> </w:t>
      </w:r>
      <w:proofErr w:type="spellStart"/>
      <w:r w:rsidRPr="001D2854">
        <w:rPr>
          <w:rFonts w:asciiTheme="majorHAnsi" w:hAnsiTheme="majorHAnsi" w:cs="Arial"/>
          <w:lang w:val="en-US"/>
        </w:rPr>
        <w:t>realplex</w:t>
      </w:r>
      <w:proofErr w:type="spellEnd"/>
      <w:r w:rsidRPr="001D2854">
        <w:rPr>
          <w:rFonts w:asciiTheme="majorHAnsi" w:hAnsiTheme="majorHAnsi" w:cs="Arial"/>
          <w:lang w:val="en-US"/>
        </w:rPr>
        <w:t xml:space="preserve"> S real-time thermal cycler (Eppendorf, Hamburg, Germany)</w:t>
      </w:r>
      <w:r w:rsidRPr="001D2854">
        <w:rPr>
          <w:rFonts w:asciiTheme="majorHAnsi" w:hAnsiTheme="majorHAnsi"/>
          <w:i/>
          <w:lang w:val="en-US"/>
        </w:rPr>
        <w:t>.</w:t>
      </w:r>
      <w:r w:rsidRPr="001D2854">
        <w:rPr>
          <w:rFonts w:asciiTheme="majorHAnsi" w:hAnsiTheme="majorHAnsi"/>
          <w:lang w:val="en-US"/>
        </w:rPr>
        <w:t xml:space="preserve"> </w:t>
      </w:r>
      <w:r w:rsidRPr="001D2854">
        <w:rPr>
          <w:rFonts w:asciiTheme="majorHAnsi" w:hAnsiTheme="majorHAnsi" w:cs="Arial"/>
          <w:lang w:val="en-US"/>
        </w:rPr>
        <w:t>Each 15-µL reaction mixture contained 2 µL of sample</w:t>
      </w:r>
      <w:r w:rsidRPr="001D2854">
        <w:rPr>
          <w:rFonts w:asciiTheme="majorHAnsi" w:hAnsiTheme="majorHAnsi" w:cs="Arial"/>
          <w:vertAlign w:val="superscript"/>
          <w:lang w:val="en-US"/>
        </w:rPr>
        <w:t xml:space="preserve"> </w:t>
      </w:r>
      <w:r w:rsidRPr="001D2854">
        <w:rPr>
          <w:rFonts w:asciiTheme="majorHAnsi" w:hAnsiTheme="majorHAnsi" w:cs="Arial"/>
          <w:lang w:val="en-US"/>
        </w:rPr>
        <w:t xml:space="preserve">cDNA, 7.5 µL of </w:t>
      </w:r>
      <w:proofErr w:type="gramStart"/>
      <w:r w:rsidRPr="001D2854">
        <w:rPr>
          <w:rFonts w:asciiTheme="majorHAnsi" w:hAnsiTheme="majorHAnsi" w:cs="Arial"/>
          <w:lang w:val="en-US"/>
        </w:rPr>
        <w:t>2</w:t>
      </w:r>
      <w:r w:rsidRPr="001D2854">
        <w:rPr>
          <w:rFonts w:asciiTheme="majorHAnsi" w:hAnsiTheme="majorHAnsi" w:cs="Arial"/>
          <w:lang w:val="en-US"/>
        </w:rPr>
        <w:sym w:font="Symbol" w:char="F0B4"/>
      </w:r>
      <w:r w:rsidRPr="001D2854">
        <w:rPr>
          <w:rFonts w:asciiTheme="majorHAnsi" w:hAnsiTheme="majorHAnsi" w:cs="Arial"/>
          <w:lang w:val="en-US"/>
        </w:rPr>
        <w:t xml:space="preserve"> Maxima SYBR Green </w:t>
      </w:r>
      <w:proofErr w:type="spellStart"/>
      <w:r w:rsidRPr="001D2854">
        <w:rPr>
          <w:rFonts w:asciiTheme="majorHAnsi" w:hAnsiTheme="majorHAnsi" w:cs="Arial"/>
          <w:lang w:val="en-US"/>
        </w:rPr>
        <w:t>qPCR</w:t>
      </w:r>
      <w:proofErr w:type="spellEnd"/>
      <w:r w:rsidRPr="001D2854">
        <w:rPr>
          <w:rFonts w:asciiTheme="majorHAnsi" w:hAnsiTheme="majorHAnsi" w:cs="Arial"/>
          <w:lang w:val="en-US"/>
        </w:rPr>
        <w:t xml:space="preserve"> master mixture</w:t>
      </w:r>
      <w:proofErr w:type="gramEnd"/>
      <w:r w:rsidRPr="001D2854">
        <w:rPr>
          <w:rFonts w:asciiTheme="majorHAnsi" w:hAnsiTheme="majorHAnsi" w:cs="Arial"/>
          <w:lang w:val="en-US"/>
        </w:rPr>
        <w:t xml:space="preserve"> (</w:t>
      </w:r>
      <w:proofErr w:type="spellStart"/>
      <w:r w:rsidRPr="001D2854">
        <w:rPr>
          <w:rFonts w:asciiTheme="majorHAnsi" w:hAnsiTheme="majorHAnsi" w:cs="Arial"/>
          <w:lang w:val="en-US"/>
        </w:rPr>
        <w:t>Fermentas</w:t>
      </w:r>
      <w:proofErr w:type="spellEnd"/>
      <w:r w:rsidRPr="001D2854">
        <w:rPr>
          <w:rFonts w:asciiTheme="majorHAnsi" w:hAnsiTheme="majorHAnsi" w:cs="Arial"/>
          <w:lang w:val="en-US"/>
        </w:rPr>
        <w:t xml:space="preserve">) and 0.3 </w:t>
      </w:r>
      <w:r w:rsidRPr="001D2854">
        <w:rPr>
          <w:rFonts w:asciiTheme="majorHAnsi" w:hAnsiTheme="majorHAnsi" w:cs="Arial"/>
          <w:lang w:val="en-US"/>
        </w:rPr>
        <w:sym w:font="Symbol" w:char="F06D"/>
      </w:r>
      <w:r w:rsidRPr="001D2854">
        <w:rPr>
          <w:rFonts w:asciiTheme="majorHAnsi" w:hAnsiTheme="majorHAnsi" w:cs="Arial"/>
          <w:lang w:val="en-US"/>
        </w:rPr>
        <w:t>M of each oligonucleotide primer.</w:t>
      </w:r>
      <w:r w:rsidRPr="001D2854">
        <w:rPr>
          <w:rFonts w:asciiTheme="majorHAnsi" w:hAnsiTheme="majorHAnsi" w:cs="Arial"/>
          <w:b/>
          <w:lang w:val="en-US"/>
        </w:rPr>
        <w:t xml:space="preserve"> </w:t>
      </w:r>
      <w:r w:rsidRPr="001D2854">
        <w:rPr>
          <w:rFonts w:asciiTheme="majorHAnsi" w:hAnsiTheme="majorHAnsi"/>
          <w:lang w:val="en-US"/>
        </w:rPr>
        <w:t xml:space="preserve">Amplification included a </w:t>
      </w:r>
      <w:r w:rsidRPr="001D2854">
        <w:rPr>
          <w:rFonts w:asciiTheme="majorHAnsi" w:hAnsiTheme="majorHAnsi" w:cs="Arial"/>
          <w:lang w:val="en-US"/>
        </w:rPr>
        <w:t>template denaturation</w:t>
      </w:r>
      <w:r w:rsidRPr="001D2854">
        <w:rPr>
          <w:rFonts w:asciiTheme="majorHAnsi" w:hAnsiTheme="majorHAnsi" w:cs="Arial"/>
          <w:vertAlign w:val="superscript"/>
          <w:lang w:val="en-US"/>
        </w:rPr>
        <w:t xml:space="preserve"> </w:t>
      </w:r>
      <w:r w:rsidRPr="001D2854">
        <w:rPr>
          <w:rFonts w:asciiTheme="majorHAnsi" w:hAnsiTheme="majorHAnsi" w:cs="Arial"/>
          <w:lang w:val="en-US"/>
        </w:rPr>
        <w:t>step</w:t>
      </w:r>
      <w:r w:rsidRPr="001D2854">
        <w:rPr>
          <w:rFonts w:asciiTheme="majorHAnsi" w:hAnsiTheme="majorHAnsi" w:cs="Arial"/>
          <w:vertAlign w:val="superscript"/>
          <w:lang w:val="en-US"/>
        </w:rPr>
        <w:t xml:space="preserve"> </w:t>
      </w:r>
      <w:r w:rsidRPr="001D2854">
        <w:rPr>
          <w:rFonts w:asciiTheme="majorHAnsi" w:hAnsiTheme="majorHAnsi" w:cs="Arial"/>
          <w:lang w:val="en-US"/>
        </w:rPr>
        <w:t>at 95° C (2 min) followed by 35 cycles of 30 sec at 95°C, 35 sec at 55°C and 2.5 min at 68°C, with fluorescence acquisition at the end of each extension step and a final extension step of 10 min at 68°C, with a final melting program consisting</w:t>
      </w:r>
      <w:r w:rsidRPr="001D2854">
        <w:rPr>
          <w:rFonts w:asciiTheme="majorHAnsi" w:hAnsiTheme="majorHAnsi" w:cs="Arial"/>
          <w:vertAlign w:val="superscript"/>
          <w:lang w:val="en-US"/>
        </w:rPr>
        <w:t xml:space="preserve"> </w:t>
      </w:r>
      <w:r w:rsidRPr="001D2854">
        <w:rPr>
          <w:rFonts w:asciiTheme="majorHAnsi" w:hAnsiTheme="majorHAnsi" w:cs="Arial"/>
          <w:lang w:val="en-US"/>
        </w:rPr>
        <w:t>of 15 sec at 95°C, 15 sec at 60°C, and a stepwise temperature</w:t>
      </w:r>
      <w:r w:rsidRPr="001D2854">
        <w:rPr>
          <w:rFonts w:asciiTheme="majorHAnsi" w:hAnsiTheme="majorHAnsi" w:cs="Arial"/>
          <w:vertAlign w:val="superscript"/>
          <w:lang w:val="en-US"/>
        </w:rPr>
        <w:t xml:space="preserve"> </w:t>
      </w:r>
      <w:r w:rsidRPr="001D2854">
        <w:rPr>
          <w:rFonts w:asciiTheme="majorHAnsi" w:hAnsiTheme="majorHAnsi" w:cs="Arial"/>
          <w:lang w:val="en-US"/>
        </w:rPr>
        <w:t>increase of 0.03°C/sec</w:t>
      </w:r>
      <w:r w:rsidRPr="001D2854">
        <w:rPr>
          <w:rFonts w:asciiTheme="majorHAnsi" w:hAnsiTheme="majorHAnsi" w:cs="Arial"/>
          <w:color w:val="303030"/>
          <w:lang w:val="en-US"/>
        </w:rPr>
        <w:t xml:space="preserve"> </w:t>
      </w:r>
      <w:r w:rsidRPr="001D2854">
        <w:rPr>
          <w:rFonts w:asciiTheme="majorHAnsi" w:hAnsiTheme="majorHAnsi" w:cs="Arial"/>
          <w:lang w:val="en-US"/>
        </w:rPr>
        <w:t>until 95°C. Fluorescence acquisition</w:t>
      </w:r>
      <w:r w:rsidRPr="001D2854">
        <w:rPr>
          <w:rFonts w:asciiTheme="majorHAnsi" w:hAnsiTheme="majorHAnsi" w:cs="Arial"/>
          <w:vertAlign w:val="superscript"/>
          <w:lang w:val="en-US"/>
        </w:rPr>
        <w:t xml:space="preserve"> </w:t>
      </w:r>
      <w:r w:rsidRPr="001D2854">
        <w:rPr>
          <w:rFonts w:asciiTheme="majorHAnsi" w:hAnsiTheme="majorHAnsi" w:cs="Arial"/>
          <w:lang w:val="en-US"/>
        </w:rPr>
        <w:t xml:space="preserve">was done at each temperature transition. Quantitative results were expressed as numbers of </w:t>
      </w:r>
      <w:r w:rsidRPr="001D2854">
        <w:rPr>
          <w:rFonts w:asciiTheme="majorHAnsi" w:hAnsiTheme="majorHAnsi" w:cs="Lucida Grande"/>
          <w:i/>
          <w:iCs/>
          <w:lang w:val="en-US"/>
        </w:rPr>
        <w:t>Pvs25</w:t>
      </w:r>
      <w:r w:rsidRPr="001D2854">
        <w:rPr>
          <w:rFonts w:asciiTheme="majorHAnsi" w:hAnsiTheme="majorHAnsi" w:cs="Lucida Grande"/>
          <w:lang w:val="en-US"/>
        </w:rPr>
        <w:t xml:space="preserve"> gene transcripts</w:t>
      </w:r>
      <w:r w:rsidRPr="001D2854">
        <w:rPr>
          <w:rFonts w:asciiTheme="majorHAnsi" w:hAnsiTheme="majorHAnsi" w:cs="Arial"/>
          <w:bCs/>
          <w:lang w:val="en-US"/>
        </w:rPr>
        <w:t>/</w:t>
      </w:r>
      <w:r w:rsidRPr="001D2854">
        <w:rPr>
          <w:rFonts w:asciiTheme="majorHAnsi" w:hAnsiTheme="majorHAnsi" w:cs="Arial"/>
          <w:lang w:val="en-US"/>
        </w:rPr>
        <w:t>µL</w:t>
      </w:r>
      <w:r w:rsidRPr="001D2854">
        <w:rPr>
          <w:rFonts w:asciiTheme="majorHAnsi" w:hAnsiTheme="majorHAnsi" w:cs="Lucida Grande"/>
          <w:lang w:val="en-US"/>
        </w:rPr>
        <w:t xml:space="preserve"> of blood. </w:t>
      </w:r>
      <w:r w:rsidRPr="001D2854">
        <w:rPr>
          <w:rFonts w:asciiTheme="majorHAnsi" w:hAnsiTheme="majorHAnsi"/>
          <w:lang w:val="en-US"/>
        </w:rPr>
        <w:t xml:space="preserve">The following negative controls were used: (a) to control for genomic DNA contamination, </w:t>
      </w:r>
      <w:r w:rsidRPr="001D2854">
        <w:rPr>
          <w:rFonts w:asciiTheme="majorHAnsi" w:hAnsiTheme="majorHAnsi" w:cs="Lucida Grande"/>
          <w:lang w:val="en-US"/>
        </w:rPr>
        <w:t>a RT-minus control (containing all reagents for reverse transcription except for the Maxima enzyme mix [</w:t>
      </w:r>
      <w:proofErr w:type="spellStart"/>
      <w:r w:rsidRPr="001D2854">
        <w:rPr>
          <w:rFonts w:asciiTheme="majorHAnsi" w:hAnsiTheme="majorHAnsi" w:cs="Lucida Grande"/>
          <w:lang w:val="en-US"/>
        </w:rPr>
        <w:t>Fermentas</w:t>
      </w:r>
      <w:proofErr w:type="spellEnd"/>
      <w:r w:rsidRPr="001D2854">
        <w:rPr>
          <w:rFonts w:asciiTheme="majorHAnsi" w:hAnsiTheme="majorHAnsi" w:cs="Lucida Grande"/>
          <w:lang w:val="en-US"/>
        </w:rPr>
        <w:t xml:space="preserve">]) was run </w:t>
      </w:r>
      <w:r w:rsidRPr="001D2854">
        <w:rPr>
          <w:rFonts w:asciiTheme="majorHAnsi" w:hAnsiTheme="majorHAnsi"/>
          <w:lang w:val="en-US"/>
        </w:rPr>
        <w:t>f</w:t>
      </w:r>
      <w:r w:rsidRPr="001D2854">
        <w:rPr>
          <w:rFonts w:asciiTheme="majorHAnsi" w:hAnsiTheme="majorHAnsi" w:cs="Lucida Grande"/>
          <w:lang w:val="en-US"/>
        </w:rPr>
        <w:t xml:space="preserve">or each RNA sample, using the standard </w:t>
      </w:r>
      <w:proofErr w:type="spellStart"/>
      <w:r w:rsidRPr="001D2854">
        <w:rPr>
          <w:rFonts w:asciiTheme="majorHAnsi" w:hAnsiTheme="majorHAnsi" w:cs="Lucida Grande"/>
          <w:lang w:val="en-US"/>
        </w:rPr>
        <w:t>qRT</w:t>
      </w:r>
      <w:proofErr w:type="spellEnd"/>
      <w:r w:rsidRPr="001D2854">
        <w:rPr>
          <w:rFonts w:asciiTheme="majorHAnsi" w:hAnsiTheme="majorHAnsi" w:cs="Lucida Grande"/>
          <w:lang w:val="en-US"/>
        </w:rPr>
        <w:t xml:space="preserve">-PCR protocol reagents; (b) to control for reagent contamination, no-template controls (containing all reagents for reverse transcription except for the RNA template) were run for every PCR </w:t>
      </w:r>
      <w:proofErr w:type="spellStart"/>
      <w:r w:rsidRPr="001D2854">
        <w:rPr>
          <w:rFonts w:asciiTheme="majorHAnsi" w:hAnsiTheme="majorHAnsi" w:cs="Lucida Grande"/>
          <w:lang w:val="en-US"/>
        </w:rPr>
        <w:t>microplate</w:t>
      </w:r>
      <w:proofErr w:type="spellEnd"/>
      <w:r w:rsidRPr="001D2854">
        <w:rPr>
          <w:rFonts w:asciiTheme="majorHAnsi" w:hAnsiTheme="majorHAnsi" w:cs="Lucida Grande"/>
          <w:lang w:val="en-US"/>
        </w:rPr>
        <w:t xml:space="preserve">. As a control for cDNA template integrity, for each sample we run a </w:t>
      </w:r>
      <w:proofErr w:type="spellStart"/>
      <w:r w:rsidRPr="001D2854">
        <w:rPr>
          <w:rFonts w:asciiTheme="majorHAnsi" w:hAnsiTheme="majorHAnsi" w:cs="Lucida Grande"/>
          <w:lang w:val="en-US"/>
        </w:rPr>
        <w:t>qPCR</w:t>
      </w:r>
      <w:proofErr w:type="spellEnd"/>
      <w:r w:rsidRPr="001D2854">
        <w:rPr>
          <w:rFonts w:asciiTheme="majorHAnsi" w:hAnsiTheme="majorHAnsi" w:cs="Lucida Grande"/>
          <w:lang w:val="en-US"/>
        </w:rPr>
        <w:t xml:space="preserve"> targeting the </w:t>
      </w:r>
      <w:r w:rsidRPr="001D2854">
        <w:rPr>
          <w:rFonts w:asciiTheme="majorHAnsi" w:hAnsiTheme="majorHAnsi" w:cs="Lucida Grande"/>
          <w:i/>
          <w:lang w:val="en-US"/>
        </w:rPr>
        <w:t xml:space="preserve">18S </w:t>
      </w:r>
      <w:proofErr w:type="spellStart"/>
      <w:r w:rsidRPr="001D2854">
        <w:rPr>
          <w:rFonts w:asciiTheme="majorHAnsi" w:hAnsiTheme="majorHAnsi" w:cs="Lucida Grande"/>
          <w:i/>
          <w:lang w:val="en-US"/>
        </w:rPr>
        <w:t>rRNA</w:t>
      </w:r>
      <w:proofErr w:type="spellEnd"/>
      <w:r w:rsidRPr="001D2854">
        <w:rPr>
          <w:rFonts w:asciiTheme="majorHAnsi" w:hAnsiTheme="majorHAnsi" w:cs="Lucida Grande"/>
          <w:lang w:val="en-US"/>
        </w:rPr>
        <w:t xml:space="preserve"> gene of </w:t>
      </w:r>
      <w:r w:rsidRPr="001D2854">
        <w:rPr>
          <w:rFonts w:asciiTheme="majorHAnsi" w:hAnsiTheme="majorHAnsi" w:cs="Lucida Grande"/>
          <w:i/>
          <w:lang w:val="en-US"/>
        </w:rPr>
        <w:t xml:space="preserve">P. </w:t>
      </w:r>
      <w:proofErr w:type="spellStart"/>
      <w:r w:rsidRPr="001D2854">
        <w:rPr>
          <w:rFonts w:asciiTheme="majorHAnsi" w:hAnsiTheme="majorHAnsi" w:cs="Lucida Grande"/>
          <w:i/>
          <w:lang w:val="en-US"/>
        </w:rPr>
        <w:t>vivax</w:t>
      </w:r>
      <w:proofErr w:type="spellEnd"/>
      <w:r w:rsidRPr="001D2854">
        <w:rPr>
          <w:rFonts w:asciiTheme="majorHAnsi" w:hAnsiTheme="majorHAnsi" w:cs="Lucida Grande"/>
          <w:i/>
          <w:lang w:val="en-US"/>
        </w:rPr>
        <w:t xml:space="preserve"> </w:t>
      </w:r>
      <w:r w:rsidRPr="001D2854">
        <w:rPr>
          <w:rFonts w:asciiTheme="majorHAnsi" w:hAnsiTheme="majorHAnsi" w:cs="Lucida Grande"/>
          <w:lang w:val="en-US"/>
        </w:rPr>
        <w:t>(described above)</w:t>
      </w:r>
      <w:r w:rsidRPr="001D2854">
        <w:rPr>
          <w:rFonts w:asciiTheme="majorHAnsi" w:hAnsiTheme="majorHAnsi" w:cs="Lucida Grande"/>
          <w:i/>
          <w:lang w:val="en-US"/>
        </w:rPr>
        <w:t xml:space="preserve">, </w:t>
      </w:r>
      <w:r w:rsidRPr="001D2854">
        <w:rPr>
          <w:rFonts w:asciiTheme="majorHAnsi" w:hAnsiTheme="majorHAnsi" w:cs="Lucida Grande"/>
          <w:lang w:val="en-US"/>
        </w:rPr>
        <w:t xml:space="preserve">which is expressed by all parasite's blood stages. RNA isolation and cDNA synthesis were repeated whenever amplification of the </w:t>
      </w:r>
      <w:r w:rsidRPr="001D2854">
        <w:rPr>
          <w:rFonts w:asciiTheme="majorHAnsi" w:hAnsiTheme="majorHAnsi" w:cs="Lucida Grande"/>
          <w:i/>
          <w:lang w:val="en-US"/>
        </w:rPr>
        <w:t xml:space="preserve">18S </w:t>
      </w:r>
      <w:proofErr w:type="spellStart"/>
      <w:r w:rsidRPr="001D2854">
        <w:rPr>
          <w:rFonts w:asciiTheme="majorHAnsi" w:hAnsiTheme="majorHAnsi" w:cs="Lucida Grande"/>
          <w:i/>
          <w:lang w:val="en-US"/>
        </w:rPr>
        <w:t>rRNA</w:t>
      </w:r>
      <w:proofErr w:type="spellEnd"/>
      <w:r w:rsidRPr="001D2854">
        <w:rPr>
          <w:rFonts w:asciiTheme="majorHAnsi" w:hAnsiTheme="majorHAnsi" w:cs="Lucida Grande"/>
          <w:lang w:val="en-US"/>
        </w:rPr>
        <w:t xml:space="preserve"> control product failed. As a positive control for </w:t>
      </w:r>
      <w:r w:rsidRPr="001D2854">
        <w:rPr>
          <w:rFonts w:asciiTheme="majorHAnsi" w:hAnsiTheme="majorHAnsi" w:cs="Lucida Grande"/>
          <w:i/>
          <w:lang w:val="en-US"/>
        </w:rPr>
        <w:t>pvs25</w:t>
      </w:r>
      <w:r w:rsidRPr="001D2854">
        <w:rPr>
          <w:rFonts w:asciiTheme="majorHAnsi" w:hAnsiTheme="majorHAnsi" w:cs="Lucida Grande"/>
          <w:lang w:val="en-US"/>
        </w:rPr>
        <w:t xml:space="preserve"> gene amplification, genomic </w:t>
      </w:r>
      <w:r w:rsidRPr="001D2854">
        <w:rPr>
          <w:rFonts w:asciiTheme="majorHAnsi" w:hAnsiTheme="majorHAnsi" w:cs="Lucida Grande"/>
          <w:i/>
          <w:lang w:val="en-US"/>
        </w:rPr>
        <w:t xml:space="preserve">P. </w:t>
      </w:r>
      <w:proofErr w:type="spellStart"/>
      <w:r w:rsidRPr="001D2854">
        <w:rPr>
          <w:rFonts w:asciiTheme="majorHAnsi" w:hAnsiTheme="majorHAnsi" w:cs="Lucida Grande"/>
          <w:i/>
          <w:lang w:val="en-US"/>
        </w:rPr>
        <w:t>vivax</w:t>
      </w:r>
      <w:proofErr w:type="spellEnd"/>
      <w:r w:rsidRPr="001D2854">
        <w:rPr>
          <w:rFonts w:asciiTheme="majorHAnsi" w:hAnsiTheme="majorHAnsi" w:cs="Lucida Grande"/>
          <w:i/>
          <w:lang w:val="en-US"/>
        </w:rPr>
        <w:t xml:space="preserve"> </w:t>
      </w:r>
      <w:r w:rsidRPr="001D2854">
        <w:rPr>
          <w:rFonts w:asciiTheme="majorHAnsi" w:hAnsiTheme="majorHAnsi" w:cs="Lucida Grande"/>
          <w:lang w:val="en-US"/>
        </w:rPr>
        <w:t>DNA templates were</w:t>
      </w:r>
      <w:r w:rsidRPr="001D2854">
        <w:rPr>
          <w:rFonts w:asciiTheme="majorHAnsi" w:hAnsiTheme="majorHAnsi"/>
          <w:lang w:val="en-US"/>
        </w:rPr>
        <w:t xml:space="preserve"> run for every PCR </w:t>
      </w:r>
      <w:proofErr w:type="spellStart"/>
      <w:r w:rsidRPr="001D2854">
        <w:rPr>
          <w:rFonts w:asciiTheme="majorHAnsi" w:hAnsiTheme="majorHAnsi"/>
          <w:lang w:val="en-US"/>
        </w:rPr>
        <w:t>microplate</w:t>
      </w:r>
      <w:proofErr w:type="spellEnd"/>
      <w:r w:rsidRPr="001D2854">
        <w:rPr>
          <w:rFonts w:asciiTheme="majorHAnsi" w:hAnsiTheme="majorHAnsi"/>
          <w:lang w:val="en-US"/>
        </w:rPr>
        <w:t>.</w:t>
      </w:r>
    </w:p>
    <w:p w:rsidR="00037299" w:rsidRPr="001D2854" w:rsidRDefault="001D2854" w:rsidP="00FF6CA7">
      <w:pPr>
        <w:spacing w:before="100" w:beforeAutospacing="1" w:after="100" w:afterAutospacing="1"/>
        <w:rPr>
          <w:rFonts w:asciiTheme="majorHAnsi" w:hAnsiTheme="majorHAnsi"/>
          <w:b/>
          <w:lang w:val="en-US"/>
        </w:rPr>
      </w:pPr>
      <w:r w:rsidRPr="001D2854">
        <w:rPr>
          <w:rFonts w:asciiTheme="majorHAnsi" w:hAnsiTheme="majorHAnsi"/>
          <w:b/>
          <w:lang w:val="en-US"/>
        </w:rPr>
        <w:t>Hierarchical modeling of risk factors</w:t>
      </w:r>
      <w:r>
        <w:rPr>
          <w:rFonts w:asciiTheme="majorHAnsi" w:hAnsiTheme="majorHAnsi"/>
          <w:b/>
          <w:lang w:val="en-US"/>
        </w:rPr>
        <w:t xml:space="preserve"> for infection and disease</w:t>
      </w:r>
    </w:p>
    <w:p w:rsidR="00BF4F41" w:rsidRPr="001D2854" w:rsidRDefault="002A2D2A" w:rsidP="00FF6CA7">
      <w:pPr>
        <w:spacing w:before="100" w:beforeAutospacing="1" w:after="100" w:afterAutospacing="1"/>
        <w:rPr>
          <w:rFonts w:asciiTheme="majorHAnsi" w:hAnsiTheme="majorHAnsi"/>
          <w:lang w:val="en-US"/>
        </w:rPr>
      </w:pPr>
      <w:r w:rsidRPr="001D2854">
        <w:rPr>
          <w:rFonts w:asciiTheme="majorHAnsi" w:hAnsiTheme="majorHAnsi"/>
          <w:i/>
          <w:lang w:val="en-US"/>
        </w:rPr>
        <w:lastRenderedPageBreak/>
        <w:t>Plasmodium vivax</w:t>
      </w:r>
      <w:r w:rsidRPr="001D2854">
        <w:rPr>
          <w:rFonts w:asciiTheme="majorHAnsi" w:hAnsiTheme="majorHAnsi"/>
          <w:lang w:val="en-US"/>
        </w:rPr>
        <w:t xml:space="preserve"> infection</w:t>
      </w:r>
      <w:r w:rsidR="006A40A6" w:rsidRPr="001D2854">
        <w:rPr>
          <w:rFonts w:asciiTheme="majorHAnsi" w:hAnsiTheme="majorHAnsi"/>
          <w:lang w:val="en-US"/>
        </w:rPr>
        <w:t xml:space="preserve"> and progression to </w:t>
      </w:r>
      <w:r w:rsidRPr="001D2854">
        <w:rPr>
          <w:rFonts w:asciiTheme="majorHAnsi" w:hAnsiTheme="majorHAnsi"/>
          <w:lang w:val="en-US"/>
        </w:rPr>
        <w:t xml:space="preserve">clinical malaria </w:t>
      </w:r>
      <w:r w:rsidR="006A40A6" w:rsidRPr="001D2854">
        <w:rPr>
          <w:rFonts w:asciiTheme="majorHAnsi" w:hAnsiTheme="majorHAnsi"/>
          <w:lang w:val="en-US"/>
        </w:rPr>
        <w:t xml:space="preserve">disease </w:t>
      </w:r>
      <w:r w:rsidRPr="001D2854">
        <w:rPr>
          <w:rFonts w:asciiTheme="majorHAnsi" w:hAnsiTheme="majorHAnsi"/>
          <w:lang w:val="en-US"/>
        </w:rPr>
        <w:t>is a</w:t>
      </w:r>
      <w:r w:rsidR="006A40A6" w:rsidRPr="001D2854">
        <w:rPr>
          <w:rFonts w:asciiTheme="majorHAnsi" w:hAnsiTheme="majorHAnsi"/>
          <w:lang w:val="en-US"/>
        </w:rPr>
        <w:t xml:space="preserve"> </w:t>
      </w:r>
      <w:r w:rsidR="00CD6218" w:rsidRPr="001D2854">
        <w:rPr>
          <w:rFonts w:asciiTheme="majorHAnsi" w:hAnsiTheme="majorHAnsi"/>
          <w:lang w:val="en-US"/>
        </w:rPr>
        <w:t xml:space="preserve">complex process in which there seems to be </w:t>
      </w:r>
      <w:r w:rsidR="003069A9" w:rsidRPr="001D2854">
        <w:rPr>
          <w:rFonts w:asciiTheme="majorHAnsi" w:hAnsiTheme="majorHAnsi" w:cs="Verdana"/>
          <w:lang w:val="en-US"/>
        </w:rPr>
        <w:t xml:space="preserve">interrelationships </w:t>
      </w:r>
      <w:r w:rsidR="00CD6218" w:rsidRPr="001D2854">
        <w:rPr>
          <w:rFonts w:asciiTheme="majorHAnsi" w:hAnsiTheme="majorHAnsi" w:cs="Verdana"/>
          <w:lang w:val="en-US"/>
        </w:rPr>
        <w:t>between its determinants</w:t>
      </w:r>
      <w:r w:rsidR="00D826FC" w:rsidRPr="001D2854">
        <w:rPr>
          <w:rFonts w:asciiTheme="majorHAnsi" w:hAnsiTheme="majorHAnsi" w:cs="Verdana"/>
          <w:lang w:val="en-US"/>
        </w:rPr>
        <w:t xml:space="preserve">. </w:t>
      </w:r>
      <w:r w:rsidR="00CD6218" w:rsidRPr="001D2854">
        <w:rPr>
          <w:rFonts w:asciiTheme="majorHAnsi" w:hAnsiTheme="majorHAnsi" w:cs="Verdana"/>
          <w:lang w:val="en-US"/>
        </w:rPr>
        <w:t xml:space="preserve">Constructing a model with a hierarchical structure is a way to </w:t>
      </w:r>
      <w:r w:rsidR="00CD6218" w:rsidRPr="001D2854">
        <w:rPr>
          <w:rFonts w:asciiTheme="majorHAnsi" w:hAnsiTheme="majorHAnsi"/>
          <w:lang w:val="en-US"/>
        </w:rPr>
        <w:t>incorporate</w:t>
      </w:r>
      <w:r w:rsidR="00BF4F41" w:rsidRPr="001D2854">
        <w:rPr>
          <w:rFonts w:asciiTheme="majorHAnsi" w:hAnsiTheme="majorHAnsi"/>
          <w:lang w:val="en-US"/>
        </w:rPr>
        <w:t xml:space="preserve"> </w:t>
      </w:r>
      <w:r w:rsidR="00CD6218" w:rsidRPr="001D2854">
        <w:rPr>
          <w:rFonts w:asciiTheme="majorHAnsi" w:hAnsiTheme="majorHAnsi"/>
          <w:lang w:val="en-US"/>
        </w:rPr>
        <w:t>interdependence</w:t>
      </w:r>
      <w:r w:rsidRPr="001D2854">
        <w:rPr>
          <w:rFonts w:asciiTheme="majorHAnsi" w:hAnsiTheme="majorHAnsi"/>
          <w:lang w:val="en-US"/>
        </w:rPr>
        <w:t xml:space="preserve"> </w:t>
      </w:r>
      <w:r w:rsidRPr="001D2854">
        <w:rPr>
          <w:rFonts w:asciiTheme="majorHAnsi" w:hAnsiTheme="majorHAnsi" w:cs="Times New Roman"/>
          <w:color w:val="000000"/>
          <w:szCs w:val="23"/>
          <w:lang w:val="en-US"/>
        </w:rPr>
        <w:t>between some of the covariates</w:t>
      </w:r>
      <w:r w:rsidR="004A594A" w:rsidRPr="001D2854">
        <w:rPr>
          <w:rFonts w:asciiTheme="majorHAnsi" w:hAnsiTheme="majorHAnsi"/>
          <w:lang w:val="en-US"/>
        </w:rPr>
        <w:t>,</w:t>
      </w:r>
      <w:r w:rsidR="00CD6218" w:rsidRPr="001D2854">
        <w:rPr>
          <w:rFonts w:asciiTheme="majorHAnsi" w:hAnsiTheme="majorHAnsi"/>
          <w:lang w:val="en-US"/>
        </w:rPr>
        <w:t xml:space="preserve"> </w:t>
      </w:r>
      <w:r w:rsidR="00CD6218" w:rsidRPr="001D2854">
        <w:rPr>
          <w:rFonts w:asciiTheme="majorHAnsi" w:hAnsiTheme="majorHAnsi" w:cs="Times New Roman"/>
          <w:color w:val="000000"/>
          <w:szCs w:val="23"/>
          <w:lang w:val="en-US"/>
        </w:rPr>
        <w:t xml:space="preserve">regarded as plausible on </w:t>
      </w:r>
      <w:r w:rsidR="006A40A6" w:rsidRPr="001D2854">
        <w:rPr>
          <w:rFonts w:asciiTheme="majorHAnsi" w:hAnsiTheme="majorHAnsi" w:cs="Times New Roman"/>
          <w:color w:val="000000"/>
          <w:szCs w:val="23"/>
          <w:lang w:val="en-US"/>
        </w:rPr>
        <w:t xml:space="preserve">biological, </w:t>
      </w:r>
      <w:r w:rsidRPr="001D2854">
        <w:rPr>
          <w:rFonts w:asciiTheme="majorHAnsi" w:hAnsiTheme="majorHAnsi" w:cs="Times New Roman"/>
          <w:color w:val="000000"/>
          <w:szCs w:val="23"/>
          <w:lang w:val="en-US"/>
        </w:rPr>
        <w:t>socio-economic or other grounds</w:t>
      </w:r>
      <w:r w:rsidR="00BF4F41" w:rsidRPr="001D2854">
        <w:rPr>
          <w:rFonts w:asciiTheme="majorHAnsi" w:hAnsiTheme="majorHAnsi" w:cs="Times New Roman"/>
          <w:color w:val="000000"/>
          <w:szCs w:val="23"/>
          <w:lang w:val="en-US"/>
        </w:rPr>
        <w:t>.</w:t>
      </w:r>
    </w:p>
    <w:p w:rsidR="00FF6CA7" w:rsidRPr="001D2854" w:rsidRDefault="00CD6218" w:rsidP="00FF6CA7">
      <w:pPr>
        <w:spacing w:before="100" w:beforeAutospacing="1" w:after="100" w:afterAutospacing="1"/>
        <w:rPr>
          <w:rFonts w:asciiTheme="majorHAnsi" w:hAnsiTheme="majorHAnsi" w:cs="Times New Roman"/>
          <w:color w:val="000000"/>
          <w:sz w:val="23"/>
          <w:szCs w:val="23"/>
          <w:lang w:val="en-US"/>
        </w:rPr>
      </w:pPr>
      <w:r w:rsidRPr="001D2854">
        <w:rPr>
          <w:rFonts w:asciiTheme="majorHAnsi" w:hAnsiTheme="majorHAnsi"/>
          <w:lang w:val="en-US"/>
        </w:rPr>
        <w:t>Figure S2</w:t>
      </w:r>
      <w:r w:rsidR="00D826FC" w:rsidRPr="001D2854">
        <w:rPr>
          <w:rFonts w:asciiTheme="majorHAnsi" w:hAnsiTheme="majorHAnsi"/>
          <w:lang w:val="en-US"/>
        </w:rPr>
        <w:t xml:space="preserve"> </w:t>
      </w:r>
      <w:r w:rsidR="006A40A6" w:rsidRPr="001D2854">
        <w:rPr>
          <w:rFonts w:asciiTheme="majorHAnsi" w:hAnsiTheme="majorHAnsi" w:cs="Times New Roman"/>
          <w:color w:val="000000"/>
          <w:szCs w:val="23"/>
          <w:lang w:val="en-US"/>
        </w:rPr>
        <w:t>show</w:t>
      </w:r>
      <w:r w:rsidR="00D826FC" w:rsidRPr="001D2854">
        <w:rPr>
          <w:rFonts w:asciiTheme="majorHAnsi" w:hAnsiTheme="majorHAnsi" w:cs="Times New Roman"/>
          <w:color w:val="000000"/>
          <w:szCs w:val="23"/>
          <w:lang w:val="en-US"/>
        </w:rPr>
        <w:t>s</w:t>
      </w:r>
      <w:r w:rsidR="006A40A6" w:rsidRPr="001D2854">
        <w:rPr>
          <w:rFonts w:asciiTheme="majorHAnsi" w:hAnsiTheme="majorHAnsi" w:cs="Times New Roman"/>
          <w:color w:val="000000"/>
          <w:szCs w:val="23"/>
          <w:lang w:val="en-US"/>
        </w:rPr>
        <w:t xml:space="preserve"> how we incorporated in</w:t>
      </w:r>
      <w:r w:rsidR="00D826FC" w:rsidRPr="001D2854">
        <w:rPr>
          <w:rFonts w:asciiTheme="majorHAnsi" w:hAnsiTheme="majorHAnsi" w:cs="Times New Roman"/>
          <w:color w:val="000000"/>
          <w:szCs w:val="23"/>
          <w:lang w:val="en-US"/>
        </w:rPr>
        <w:t xml:space="preserve"> a hierarchical structure </w:t>
      </w:r>
      <w:r w:rsidR="006A40A6" w:rsidRPr="001D2854">
        <w:rPr>
          <w:rFonts w:asciiTheme="majorHAnsi" w:hAnsiTheme="majorHAnsi" w:cs="Times New Roman"/>
          <w:color w:val="000000"/>
          <w:szCs w:val="23"/>
          <w:lang w:val="en-US"/>
        </w:rPr>
        <w:t>the rela</w:t>
      </w:r>
      <w:r w:rsidR="00D826FC" w:rsidRPr="001D2854">
        <w:rPr>
          <w:rFonts w:asciiTheme="majorHAnsi" w:hAnsiTheme="majorHAnsi" w:cs="Times New Roman"/>
          <w:color w:val="000000"/>
          <w:szCs w:val="23"/>
          <w:lang w:val="en-US"/>
        </w:rPr>
        <w:t xml:space="preserve">tionships between the </w:t>
      </w:r>
      <w:r w:rsidR="00D826FC" w:rsidRPr="001D2854">
        <w:rPr>
          <w:rFonts w:asciiTheme="majorHAnsi" w:hAnsiTheme="majorHAnsi"/>
          <w:lang w:val="en-US"/>
        </w:rPr>
        <w:t xml:space="preserve">risk factors for </w:t>
      </w:r>
      <w:r w:rsidR="00D826FC" w:rsidRPr="001D2854">
        <w:rPr>
          <w:rFonts w:asciiTheme="majorHAnsi" w:hAnsiTheme="majorHAnsi"/>
          <w:i/>
          <w:lang w:val="en-US"/>
        </w:rPr>
        <w:t>P. vivax</w:t>
      </w:r>
      <w:r w:rsidR="00D826FC" w:rsidRPr="001D2854">
        <w:rPr>
          <w:rFonts w:asciiTheme="majorHAnsi" w:hAnsiTheme="majorHAnsi"/>
          <w:lang w:val="en-US"/>
        </w:rPr>
        <w:t xml:space="preserve"> infection and clinical vivax malaria when adjusting mixed effects logistic regression models.</w:t>
      </w:r>
      <w:r w:rsidR="00D826FC" w:rsidRPr="001D2854">
        <w:rPr>
          <w:rFonts w:asciiTheme="majorHAnsi" w:hAnsiTheme="majorHAnsi" w:cs="Times New Roman"/>
          <w:color w:val="000000"/>
          <w:szCs w:val="23"/>
          <w:lang w:val="en-US"/>
        </w:rPr>
        <w:t xml:space="preserve"> </w:t>
      </w:r>
      <w:r w:rsidR="00037299" w:rsidRPr="001D2854">
        <w:rPr>
          <w:rFonts w:asciiTheme="majorHAnsi" w:hAnsiTheme="majorHAnsi"/>
          <w:lang w:val="en-US"/>
        </w:rPr>
        <w:t xml:space="preserve">The effects of distal determinants, such as demographic, social and environmental factors on malaria risk are often not direct, but mediated by more proximate determinants, such as occupational and behavioral factors.  </w:t>
      </w:r>
      <w:r w:rsidR="00FF6CA7" w:rsidRPr="001D2854">
        <w:rPr>
          <w:rFonts w:asciiTheme="majorHAnsi" w:hAnsiTheme="majorHAnsi"/>
          <w:lang w:val="en-US"/>
        </w:rPr>
        <w:t xml:space="preserve">Variables included in each level were: (a) demographic and genetic </w:t>
      </w:r>
      <w:r w:rsidR="00037299" w:rsidRPr="001D2854">
        <w:rPr>
          <w:rFonts w:asciiTheme="majorHAnsi" w:hAnsiTheme="majorHAnsi"/>
          <w:lang w:val="en-US"/>
        </w:rPr>
        <w:t>characteristics</w:t>
      </w:r>
      <w:r w:rsidR="00FF6CA7" w:rsidRPr="001D2854">
        <w:rPr>
          <w:rFonts w:asciiTheme="majorHAnsi" w:hAnsiTheme="majorHAnsi"/>
          <w:lang w:val="en-US"/>
        </w:rPr>
        <w:t xml:space="preserve"> – </w:t>
      </w:r>
      <w:r w:rsidR="00FF6CA7" w:rsidRPr="001D2854">
        <w:rPr>
          <w:rFonts w:asciiTheme="majorHAnsi" w:hAnsiTheme="majorHAnsi"/>
          <w:lang w:val="en-GB"/>
        </w:rPr>
        <w:t>Duffy blood group genotype (initially stratified as Duffy-positive or Duffy-negative), sex, age (stratified as &lt; 15 years and ≥ 15 years), and years of residence in Amazonia (continuous variable)</w:t>
      </w:r>
      <w:r w:rsidR="00FF6CA7" w:rsidRPr="001D2854">
        <w:rPr>
          <w:rFonts w:asciiTheme="majorHAnsi" w:hAnsiTheme="majorHAnsi"/>
          <w:lang w:val="en-US"/>
        </w:rPr>
        <w:t xml:space="preserve">; (b) socioeconomic factors – wealth index, stratified into quartiles; (c) environmental determinants – place of residence in </w:t>
      </w:r>
      <w:proofErr w:type="spellStart"/>
      <w:r w:rsidR="00FF6CA7" w:rsidRPr="001D2854">
        <w:rPr>
          <w:rFonts w:asciiTheme="majorHAnsi" w:hAnsiTheme="majorHAnsi"/>
          <w:lang w:val="en-US"/>
        </w:rPr>
        <w:t>Remansinho</w:t>
      </w:r>
      <w:proofErr w:type="spellEnd"/>
      <w:r w:rsidR="00FF6CA7" w:rsidRPr="001D2854">
        <w:rPr>
          <w:rFonts w:asciiTheme="majorHAnsi" w:hAnsiTheme="majorHAnsi"/>
          <w:lang w:val="en-US"/>
        </w:rPr>
        <w:t xml:space="preserve"> (categorized as </w:t>
      </w:r>
      <w:proofErr w:type="spellStart"/>
      <w:r w:rsidR="00FF6CA7" w:rsidRPr="001D2854">
        <w:rPr>
          <w:rFonts w:asciiTheme="majorHAnsi" w:hAnsiTheme="majorHAnsi"/>
          <w:lang w:val="en-US"/>
        </w:rPr>
        <w:t>Ramal</w:t>
      </w:r>
      <w:proofErr w:type="spellEnd"/>
      <w:r w:rsidR="00FF6CA7" w:rsidRPr="001D2854">
        <w:rPr>
          <w:rFonts w:asciiTheme="majorHAnsi" w:hAnsiTheme="majorHAnsi"/>
          <w:lang w:val="en-US"/>
        </w:rPr>
        <w:t xml:space="preserve"> do </w:t>
      </w:r>
      <w:proofErr w:type="spellStart"/>
      <w:r w:rsidR="00FF6CA7" w:rsidRPr="001D2854">
        <w:rPr>
          <w:rFonts w:asciiTheme="majorHAnsi" w:hAnsiTheme="majorHAnsi"/>
          <w:lang w:val="en-US"/>
        </w:rPr>
        <w:t>Remansinho</w:t>
      </w:r>
      <w:proofErr w:type="spellEnd"/>
      <w:r w:rsidR="00FF6CA7" w:rsidRPr="001D2854">
        <w:rPr>
          <w:rFonts w:asciiTheme="majorHAnsi" w:hAnsiTheme="majorHAnsi"/>
          <w:lang w:val="en-US"/>
        </w:rPr>
        <w:t xml:space="preserve">, </w:t>
      </w:r>
      <w:proofErr w:type="spellStart"/>
      <w:r w:rsidR="00FF6CA7" w:rsidRPr="001D2854">
        <w:rPr>
          <w:rFonts w:asciiTheme="majorHAnsi" w:hAnsiTheme="majorHAnsi"/>
          <w:lang w:val="en-US"/>
        </w:rPr>
        <w:t>Ramal</w:t>
      </w:r>
      <w:proofErr w:type="spellEnd"/>
      <w:r w:rsidR="00FF6CA7" w:rsidRPr="001D2854">
        <w:rPr>
          <w:rFonts w:asciiTheme="majorHAnsi" w:hAnsiTheme="majorHAnsi"/>
          <w:lang w:val="en-US"/>
        </w:rPr>
        <w:t xml:space="preserve"> da </w:t>
      </w:r>
      <w:proofErr w:type="spellStart"/>
      <w:r w:rsidR="00FF6CA7" w:rsidRPr="001D2854">
        <w:rPr>
          <w:rFonts w:asciiTheme="majorHAnsi" w:hAnsiTheme="majorHAnsi"/>
          <w:lang w:val="en-US"/>
        </w:rPr>
        <w:t>Linha</w:t>
      </w:r>
      <w:proofErr w:type="spellEnd"/>
      <w:r w:rsidR="00FF6CA7" w:rsidRPr="001D2854">
        <w:rPr>
          <w:rFonts w:asciiTheme="majorHAnsi" w:hAnsiTheme="majorHAnsi"/>
          <w:lang w:val="en-US"/>
        </w:rPr>
        <w:t xml:space="preserve"> 1, </w:t>
      </w:r>
      <w:proofErr w:type="spellStart"/>
      <w:r w:rsidR="00FF6CA7" w:rsidRPr="001D2854">
        <w:rPr>
          <w:rFonts w:asciiTheme="majorHAnsi" w:hAnsiTheme="majorHAnsi"/>
          <w:lang w:val="en-US"/>
        </w:rPr>
        <w:t>Ramal</w:t>
      </w:r>
      <w:proofErr w:type="spellEnd"/>
      <w:r w:rsidR="00FF6CA7" w:rsidRPr="001D2854">
        <w:rPr>
          <w:rFonts w:asciiTheme="majorHAnsi" w:hAnsiTheme="majorHAnsi"/>
          <w:lang w:val="en-US"/>
        </w:rPr>
        <w:t xml:space="preserve"> da </w:t>
      </w:r>
      <w:proofErr w:type="spellStart"/>
      <w:r w:rsidR="00FF6CA7" w:rsidRPr="001D2854">
        <w:rPr>
          <w:rFonts w:asciiTheme="majorHAnsi" w:hAnsiTheme="majorHAnsi"/>
          <w:lang w:val="en-US"/>
        </w:rPr>
        <w:t>Castanheira</w:t>
      </w:r>
      <w:proofErr w:type="spellEnd"/>
      <w:r w:rsidR="00FF6CA7" w:rsidRPr="001D2854">
        <w:rPr>
          <w:rFonts w:asciiTheme="majorHAnsi" w:hAnsiTheme="majorHAnsi"/>
          <w:lang w:val="en-US"/>
        </w:rPr>
        <w:t xml:space="preserve">, or </w:t>
      </w:r>
      <w:proofErr w:type="spellStart"/>
      <w:r w:rsidR="00FF6CA7" w:rsidRPr="001D2854">
        <w:rPr>
          <w:rFonts w:asciiTheme="majorHAnsi" w:hAnsiTheme="majorHAnsi"/>
          <w:lang w:val="en-US"/>
        </w:rPr>
        <w:t>Ramal</w:t>
      </w:r>
      <w:proofErr w:type="spellEnd"/>
      <w:r w:rsidR="00FF6CA7" w:rsidRPr="001D2854">
        <w:rPr>
          <w:rFonts w:asciiTheme="majorHAnsi" w:hAnsiTheme="majorHAnsi"/>
          <w:lang w:val="en-US"/>
        </w:rPr>
        <w:t xml:space="preserve"> dos </w:t>
      </w:r>
      <w:proofErr w:type="spellStart"/>
      <w:r w:rsidR="00FF6CA7" w:rsidRPr="001D2854">
        <w:rPr>
          <w:rFonts w:asciiTheme="majorHAnsi" w:hAnsiTheme="majorHAnsi"/>
          <w:lang w:val="en-US"/>
        </w:rPr>
        <w:t>Seringueiros</w:t>
      </w:r>
      <w:proofErr w:type="spellEnd"/>
      <w:r w:rsidR="00FF6CA7" w:rsidRPr="001D2854">
        <w:rPr>
          <w:rFonts w:asciiTheme="majorHAnsi" w:hAnsiTheme="majorHAnsi"/>
          <w:lang w:val="en-US"/>
        </w:rPr>
        <w:t xml:space="preserve"> and </w:t>
      </w:r>
      <w:proofErr w:type="spellStart"/>
      <w:r w:rsidR="00FF6CA7" w:rsidRPr="001D2854">
        <w:rPr>
          <w:rFonts w:asciiTheme="majorHAnsi" w:hAnsiTheme="majorHAnsi"/>
          <w:lang w:val="en-US"/>
        </w:rPr>
        <w:t>Ramal</w:t>
      </w:r>
      <w:proofErr w:type="spellEnd"/>
      <w:r w:rsidR="00FF6CA7" w:rsidRPr="001D2854">
        <w:rPr>
          <w:rFonts w:asciiTheme="majorHAnsi" w:hAnsiTheme="majorHAnsi"/>
          <w:lang w:val="en-US"/>
        </w:rPr>
        <w:t xml:space="preserve"> dos </w:t>
      </w:r>
      <w:proofErr w:type="spellStart"/>
      <w:r w:rsidR="00FF6CA7" w:rsidRPr="001D2854">
        <w:rPr>
          <w:rFonts w:asciiTheme="majorHAnsi" w:hAnsiTheme="majorHAnsi"/>
          <w:lang w:val="en-US"/>
        </w:rPr>
        <w:t>Goianos</w:t>
      </w:r>
      <w:proofErr w:type="spellEnd"/>
      <w:r w:rsidR="00FF6CA7" w:rsidRPr="001D2854">
        <w:rPr>
          <w:rFonts w:asciiTheme="majorHAnsi" w:hAnsiTheme="majorHAnsi"/>
          <w:lang w:val="en-US"/>
        </w:rPr>
        <w:t xml:space="preserve"> grouped together), presence of walls in the bedroom, presence of gaps in the walls, and whether bedroom windows were left open at night; and (d) occupational and behavioral determinants – main occupation (categorized as housekeeping, agriculture and forestry, or students/minors), time the individual goes to sleep, time the individual wakes up, bathing time and place, and practice of recreational fishing. </w:t>
      </w:r>
    </w:p>
    <w:p w:rsidR="00C055AF" w:rsidRPr="001D2854" w:rsidRDefault="00FF6CA7" w:rsidP="0076640D">
      <w:pPr>
        <w:rPr>
          <w:rFonts w:asciiTheme="majorHAnsi" w:hAnsiTheme="majorHAnsi"/>
          <w:lang w:val="en-US"/>
        </w:rPr>
      </w:pPr>
      <w:r w:rsidRPr="001D2854">
        <w:rPr>
          <w:rFonts w:asciiTheme="majorHAnsi" w:hAnsiTheme="majorHAnsi" w:cs="Arial"/>
          <w:szCs w:val="26"/>
          <w:lang w:val="en-US"/>
        </w:rPr>
        <w:t>Variables within each level were introduced in the model in a stepwise approach</w:t>
      </w:r>
      <w:r w:rsidR="00037299" w:rsidRPr="001D2854">
        <w:rPr>
          <w:rFonts w:asciiTheme="majorHAnsi" w:hAnsiTheme="majorHAnsi" w:cs="Arial"/>
          <w:szCs w:val="26"/>
          <w:lang w:val="en-US"/>
        </w:rPr>
        <w:t xml:space="preserve"> and </w:t>
      </w:r>
      <w:r w:rsidR="00037299" w:rsidRPr="001D2854">
        <w:rPr>
          <w:rFonts w:asciiTheme="majorHAnsi" w:hAnsiTheme="majorHAnsi"/>
          <w:lang w:val="en-US"/>
        </w:rPr>
        <w:t>retained whenever they were associated with the outcome at a significance level of 20%</w:t>
      </w:r>
      <w:r w:rsidR="00CD6218" w:rsidRPr="001D2854">
        <w:rPr>
          <w:rFonts w:asciiTheme="majorHAnsi" w:hAnsiTheme="majorHAnsi"/>
          <w:lang w:val="en-GB"/>
        </w:rPr>
        <w:t xml:space="preserve"> or we </w:t>
      </w:r>
      <w:r w:rsidR="006A40A6" w:rsidRPr="001D2854">
        <w:rPr>
          <w:rFonts w:asciiTheme="majorHAnsi" w:hAnsiTheme="majorHAnsi"/>
          <w:lang w:val="en-GB"/>
        </w:rPr>
        <w:t>considered it</w:t>
      </w:r>
      <w:r w:rsidR="00D826FC" w:rsidRPr="001D2854">
        <w:rPr>
          <w:rFonts w:asciiTheme="majorHAnsi" w:hAnsiTheme="majorHAnsi"/>
          <w:lang w:val="en-GB"/>
        </w:rPr>
        <w:t xml:space="preserve"> necessary. </w:t>
      </w:r>
      <w:r w:rsidR="00037299" w:rsidRPr="001D2854">
        <w:rPr>
          <w:rFonts w:asciiTheme="majorHAnsi" w:hAnsiTheme="majorHAnsi" w:cs="Arial"/>
          <w:szCs w:val="26"/>
          <w:lang w:val="en-US"/>
        </w:rPr>
        <w:t>V</w:t>
      </w:r>
      <w:r w:rsidRPr="001D2854">
        <w:rPr>
          <w:rFonts w:asciiTheme="majorHAnsi" w:hAnsiTheme="majorHAnsi"/>
          <w:lang w:val="en-US"/>
        </w:rPr>
        <w:t>ariables retained</w:t>
      </w:r>
      <w:r w:rsidR="006A40A6" w:rsidRPr="001D2854">
        <w:rPr>
          <w:rFonts w:asciiTheme="majorHAnsi" w:hAnsiTheme="majorHAnsi"/>
          <w:lang w:val="en-US"/>
        </w:rPr>
        <w:t xml:space="preserve"> within a given level were retained</w:t>
      </w:r>
      <w:r w:rsidRPr="001D2854">
        <w:rPr>
          <w:rFonts w:asciiTheme="majorHAnsi" w:hAnsiTheme="majorHAnsi"/>
          <w:lang w:val="en-US"/>
        </w:rPr>
        <w:t xml:space="preserve"> in subsequent models, which incorporated more proximate </w:t>
      </w:r>
      <w:r w:rsidR="00D826FC" w:rsidRPr="001D2854">
        <w:rPr>
          <w:rFonts w:asciiTheme="majorHAnsi" w:hAnsiTheme="majorHAnsi"/>
          <w:lang w:val="en-US"/>
        </w:rPr>
        <w:t>variables. The</w:t>
      </w:r>
      <w:r w:rsidRPr="001D2854">
        <w:rPr>
          <w:rFonts w:asciiTheme="majorHAnsi" w:hAnsiTheme="majorHAnsi"/>
          <w:lang w:val="en-US"/>
        </w:rPr>
        <w:t xml:space="preserve"> more distal level included the wealth index, the only socioeconomic variable, strat</w:t>
      </w:r>
      <w:r w:rsidR="00D826FC" w:rsidRPr="001D2854">
        <w:rPr>
          <w:rFonts w:asciiTheme="majorHAnsi" w:hAnsiTheme="majorHAnsi"/>
          <w:lang w:val="en-US"/>
        </w:rPr>
        <w:t xml:space="preserve">ified into quartiles. The </w:t>
      </w:r>
      <w:proofErr w:type="gramStart"/>
      <w:r w:rsidR="00D826FC" w:rsidRPr="001D2854">
        <w:rPr>
          <w:rFonts w:asciiTheme="majorHAnsi" w:hAnsiTheme="majorHAnsi"/>
          <w:lang w:val="en-US"/>
        </w:rPr>
        <w:t>next ,</w:t>
      </w:r>
      <w:proofErr w:type="gramEnd"/>
      <w:r w:rsidR="00D826FC" w:rsidRPr="001D2854">
        <w:rPr>
          <w:rFonts w:asciiTheme="majorHAnsi" w:hAnsiTheme="majorHAnsi"/>
          <w:lang w:val="en-US"/>
        </w:rPr>
        <w:t xml:space="preserve"> intermediate, l</w:t>
      </w:r>
      <w:r w:rsidRPr="001D2854">
        <w:rPr>
          <w:rFonts w:asciiTheme="majorHAnsi" w:hAnsiTheme="majorHAnsi"/>
          <w:lang w:val="en-US"/>
        </w:rPr>
        <w:t xml:space="preserve">evel included several environmental variables, such as place of residence in Remansinho area (either [a] </w:t>
      </w:r>
      <w:proofErr w:type="spellStart"/>
      <w:r w:rsidRPr="001D2854">
        <w:rPr>
          <w:rFonts w:asciiTheme="majorHAnsi" w:hAnsiTheme="majorHAnsi"/>
          <w:lang w:val="en-US"/>
        </w:rPr>
        <w:t>Ramal</w:t>
      </w:r>
      <w:proofErr w:type="spellEnd"/>
      <w:r w:rsidRPr="001D2854">
        <w:rPr>
          <w:rFonts w:asciiTheme="majorHAnsi" w:hAnsiTheme="majorHAnsi"/>
          <w:lang w:val="en-US"/>
        </w:rPr>
        <w:t xml:space="preserve"> do </w:t>
      </w:r>
      <w:proofErr w:type="spellStart"/>
      <w:r w:rsidRPr="001D2854">
        <w:rPr>
          <w:rFonts w:asciiTheme="majorHAnsi" w:hAnsiTheme="majorHAnsi"/>
          <w:lang w:val="en-US"/>
        </w:rPr>
        <w:t>Remansinho</w:t>
      </w:r>
      <w:proofErr w:type="spellEnd"/>
      <w:r w:rsidRPr="001D2854">
        <w:rPr>
          <w:rFonts w:asciiTheme="majorHAnsi" w:hAnsiTheme="majorHAnsi"/>
          <w:lang w:val="en-US"/>
        </w:rPr>
        <w:t xml:space="preserve">, [b] </w:t>
      </w:r>
      <w:proofErr w:type="spellStart"/>
      <w:r w:rsidRPr="001D2854">
        <w:rPr>
          <w:rFonts w:asciiTheme="majorHAnsi" w:hAnsiTheme="majorHAnsi"/>
          <w:lang w:val="en-US"/>
        </w:rPr>
        <w:t>Ramal</w:t>
      </w:r>
      <w:proofErr w:type="spellEnd"/>
      <w:r w:rsidRPr="001D2854">
        <w:rPr>
          <w:rFonts w:asciiTheme="majorHAnsi" w:hAnsiTheme="majorHAnsi"/>
          <w:lang w:val="en-US"/>
        </w:rPr>
        <w:t xml:space="preserve"> da </w:t>
      </w:r>
      <w:proofErr w:type="spellStart"/>
      <w:r w:rsidRPr="001D2854">
        <w:rPr>
          <w:rFonts w:asciiTheme="majorHAnsi" w:hAnsiTheme="majorHAnsi"/>
          <w:lang w:val="en-US"/>
        </w:rPr>
        <w:t>Linha</w:t>
      </w:r>
      <w:proofErr w:type="spellEnd"/>
      <w:r w:rsidRPr="001D2854">
        <w:rPr>
          <w:rFonts w:asciiTheme="majorHAnsi" w:hAnsiTheme="majorHAnsi"/>
          <w:lang w:val="en-US"/>
        </w:rPr>
        <w:t xml:space="preserve"> 1, [c] </w:t>
      </w:r>
      <w:proofErr w:type="spellStart"/>
      <w:r w:rsidRPr="001D2854">
        <w:rPr>
          <w:rFonts w:asciiTheme="majorHAnsi" w:hAnsiTheme="majorHAnsi"/>
          <w:lang w:val="en-US"/>
        </w:rPr>
        <w:t>Ramal</w:t>
      </w:r>
      <w:proofErr w:type="spellEnd"/>
      <w:r w:rsidRPr="001D2854">
        <w:rPr>
          <w:rFonts w:asciiTheme="majorHAnsi" w:hAnsiTheme="majorHAnsi"/>
          <w:lang w:val="en-US"/>
        </w:rPr>
        <w:t xml:space="preserve"> da </w:t>
      </w:r>
      <w:proofErr w:type="spellStart"/>
      <w:r w:rsidRPr="001D2854">
        <w:rPr>
          <w:rFonts w:asciiTheme="majorHAnsi" w:hAnsiTheme="majorHAnsi"/>
          <w:lang w:val="en-US"/>
        </w:rPr>
        <w:t>Castanheira</w:t>
      </w:r>
      <w:proofErr w:type="spellEnd"/>
      <w:r w:rsidRPr="001D2854">
        <w:rPr>
          <w:rFonts w:asciiTheme="majorHAnsi" w:hAnsiTheme="majorHAnsi"/>
          <w:lang w:val="en-US"/>
        </w:rPr>
        <w:t xml:space="preserve">, or [d] </w:t>
      </w:r>
      <w:proofErr w:type="spellStart"/>
      <w:r w:rsidRPr="001D2854">
        <w:rPr>
          <w:rFonts w:asciiTheme="majorHAnsi" w:hAnsiTheme="majorHAnsi"/>
          <w:lang w:val="en-US"/>
        </w:rPr>
        <w:t>Ramal</w:t>
      </w:r>
      <w:proofErr w:type="spellEnd"/>
      <w:r w:rsidRPr="001D2854">
        <w:rPr>
          <w:rFonts w:asciiTheme="majorHAnsi" w:hAnsiTheme="majorHAnsi"/>
          <w:lang w:val="en-US"/>
        </w:rPr>
        <w:t xml:space="preserve"> dos </w:t>
      </w:r>
      <w:proofErr w:type="spellStart"/>
      <w:r w:rsidRPr="001D2854">
        <w:rPr>
          <w:rFonts w:asciiTheme="majorHAnsi" w:hAnsiTheme="majorHAnsi"/>
          <w:lang w:val="en-US"/>
        </w:rPr>
        <w:t>Seringueiros</w:t>
      </w:r>
      <w:proofErr w:type="spellEnd"/>
      <w:r w:rsidRPr="001D2854">
        <w:rPr>
          <w:rFonts w:asciiTheme="majorHAnsi" w:hAnsiTheme="majorHAnsi"/>
          <w:lang w:val="en-US"/>
        </w:rPr>
        <w:t xml:space="preserve"> and </w:t>
      </w:r>
      <w:proofErr w:type="spellStart"/>
      <w:r w:rsidRPr="001D2854">
        <w:rPr>
          <w:rFonts w:asciiTheme="majorHAnsi" w:hAnsiTheme="majorHAnsi"/>
          <w:lang w:val="en-US"/>
        </w:rPr>
        <w:t>Ramal</w:t>
      </w:r>
      <w:proofErr w:type="spellEnd"/>
      <w:r w:rsidRPr="001D2854">
        <w:rPr>
          <w:rFonts w:asciiTheme="majorHAnsi" w:hAnsiTheme="majorHAnsi"/>
          <w:lang w:val="en-US"/>
        </w:rPr>
        <w:t xml:space="preserve"> dos </w:t>
      </w:r>
      <w:proofErr w:type="spellStart"/>
      <w:r w:rsidRPr="001D2854">
        <w:rPr>
          <w:rFonts w:asciiTheme="majorHAnsi" w:hAnsiTheme="majorHAnsi"/>
          <w:lang w:val="en-US"/>
        </w:rPr>
        <w:t>Goianos</w:t>
      </w:r>
      <w:proofErr w:type="spellEnd"/>
      <w:r w:rsidRPr="001D2854">
        <w:rPr>
          <w:rFonts w:asciiTheme="majorHAnsi" w:hAnsiTheme="majorHAnsi"/>
          <w:lang w:val="en-US"/>
        </w:rPr>
        <w:t xml:space="preserve"> grouped together), presence of walls in the bedroom and presence of gaps in the walls, and whether bedroom windows wer</w:t>
      </w:r>
      <w:r w:rsidR="00D826FC" w:rsidRPr="001D2854">
        <w:rPr>
          <w:rFonts w:asciiTheme="majorHAnsi" w:hAnsiTheme="majorHAnsi"/>
          <w:lang w:val="en-US"/>
        </w:rPr>
        <w:t xml:space="preserve">e left open at night. The last, proximate, </w:t>
      </w:r>
      <w:r w:rsidRPr="001D2854">
        <w:rPr>
          <w:rFonts w:asciiTheme="majorHAnsi" w:hAnsiTheme="majorHAnsi"/>
          <w:lang w:val="en-US"/>
        </w:rPr>
        <w:t xml:space="preserve">level comprised occupational and behavioral variables potentially associated with exposure to malaria, such as main occupation (classified as housekeeping, agriculture and forestry, or </w:t>
      </w:r>
      <w:r w:rsidRPr="001D2854">
        <w:rPr>
          <w:rFonts w:asciiTheme="majorHAnsi" w:hAnsiTheme="majorHAnsi"/>
          <w:lang w:val="en-US"/>
        </w:rPr>
        <w:lastRenderedPageBreak/>
        <w:t xml:space="preserve">students/minors), sleeping habits (sleeping and waking-up time), bathing time and place, and recreational fishing. </w:t>
      </w:r>
    </w:p>
    <w:p w:rsidR="005D42C2" w:rsidRPr="001D2854" w:rsidRDefault="005D42C2" w:rsidP="0076640D">
      <w:pPr>
        <w:rPr>
          <w:rFonts w:asciiTheme="majorHAnsi" w:hAnsiTheme="majorHAnsi"/>
          <w:lang w:val="en-US"/>
        </w:rPr>
      </w:pPr>
    </w:p>
    <w:p w:rsidR="00FF6CA7" w:rsidRPr="001D2854" w:rsidRDefault="0076640D" w:rsidP="00FF6CA7">
      <w:pPr>
        <w:spacing w:before="100" w:beforeAutospacing="1" w:after="100" w:afterAutospacing="1"/>
        <w:rPr>
          <w:rFonts w:asciiTheme="majorHAnsi" w:hAnsiTheme="majorHAnsi"/>
          <w:lang w:val="en-US"/>
        </w:rPr>
      </w:pPr>
      <w:r w:rsidRPr="001D2854">
        <w:rPr>
          <w:rFonts w:asciiTheme="majorHAnsi" w:hAnsiTheme="majorHAnsi"/>
          <w:b/>
          <w:lang w:val="en-US"/>
        </w:rPr>
        <w:t>Figure S2</w:t>
      </w:r>
      <w:r w:rsidR="009073BF">
        <w:rPr>
          <w:rFonts w:asciiTheme="majorHAnsi" w:hAnsiTheme="majorHAnsi"/>
          <w:b/>
          <w:lang w:val="en-US"/>
        </w:rPr>
        <w:t xml:space="preserve"> legend</w:t>
      </w:r>
      <w:r w:rsidRPr="001D2854">
        <w:rPr>
          <w:rFonts w:asciiTheme="majorHAnsi" w:hAnsiTheme="majorHAnsi"/>
          <w:lang w:val="en-US"/>
        </w:rPr>
        <w:t xml:space="preserve">. </w:t>
      </w:r>
      <w:r w:rsidR="00C055AF" w:rsidRPr="001D2854">
        <w:rPr>
          <w:rFonts w:asciiTheme="majorHAnsi" w:hAnsiTheme="majorHAnsi"/>
          <w:lang w:val="en-US"/>
        </w:rPr>
        <w:t xml:space="preserve">Conceptual hierarchical framework used to evaluate risk factors for </w:t>
      </w:r>
      <w:r w:rsidR="00C055AF" w:rsidRPr="001D2854">
        <w:rPr>
          <w:rFonts w:asciiTheme="majorHAnsi" w:hAnsiTheme="majorHAnsi"/>
          <w:i/>
          <w:lang w:val="en-US"/>
        </w:rPr>
        <w:t>P. vivax</w:t>
      </w:r>
      <w:r w:rsidR="00C055AF" w:rsidRPr="001D2854">
        <w:rPr>
          <w:rFonts w:asciiTheme="majorHAnsi" w:hAnsiTheme="majorHAnsi"/>
          <w:lang w:val="en-US"/>
        </w:rPr>
        <w:t xml:space="preserve"> infection and clinical vivax malaria in mixed effects logistic regression models. Red arrows indicate that demographic and genetic characteristics of the study subjects may affect the outcome either directly or through more proximate determinants of infection, such as occupational and behavioral factors (see main text for details).</w:t>
      </w:r>
      <w:r w:rsidR="003C2E7A" w:rsidRPr="001D2854">
        <w:rPr>
          <w:rFonts w:asciiTheme="majorHAnsi" w:hAnsiTheme="majorHAnsi"/>
          <w:lang w:val="en-US"/>
        </w:rPr>
        <w:t xml:space="preserve"> </w:t>
      </w:r>
    </w:p>
    <w:p w:rsidR="00037299" w:rsidRPr="002A2D2A" w:rsidRDefault="00037299">
      <w:pPr>
        <w:rPr>
          <w:lang w:val="en-US"/>
        </w:rPr>
      </w:pPr>
    </w:p>
    <w:sectPr w:rsidR="00037299" w:rsidRPr="002A2D2A" w:rsidSect="0003729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0C"/>
    <w:rsid w:val="00037299"/>
    <w:rsid w:val="00115929"/>
    <w:rsid w:val="001D2854"/>
    <w:rsid w:val="002A2D2A"/>
    <w:rsid w:val="003069A9"/>
    <w:rsid w:val="003C2E7A"/>
    <w:rsid w:val="00410B77"/>
    <w:rsid w:val="004A594A"/>
    <w:rsid w:val="00547E52"/>
    <w:rsid w:val="005D42C2"/>
    <w:rsid w:val="006A40A6"/>
    <w:rsid w:val="00703665"/>
    <w:rsid w:val="00743EEE"/>
    <w:rsid w:val="0076640D"/>
    <w:rsid w:val="009073BF"/>
    <w:rsid w:val="009365B0"/>
    <w:rsid w:val="00993A57"/>
    <w:rsid w:val="00AB0EE6"/>
    <w:rsid w:val="00B00865"/>
    <w:rsid w:val="00BF4F41"/>
    <w:rsid w:val="00C055AF"/>
    <w:rsid w:val="00C6063D"/>
    <w:rsid w:val="00CC4F0C"/>
    <w:rsid w:val="00CD6218"/>
    <w:rsid w:val="00D826FC"/>
    <w:rsid w:val="00FF6C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A7"/>
    <w:pPr>
      <w:spacing w:after="0" w:line="360" w:lineRule="auto"/>
    </w:pPr>
    <w:rPr>
      <w:sz w:val="22"/>
      <w:szCs w:val="22"/>
      <w:lang w:val="pt-BR"/>
    </w:rPr>
  </w:style>
  <w:style w:type="paragraph" w:styleId="Ttulo4">
    <w:name w:val="heading 4"/>
    <w:basedOn w:val="Normal"/>
    <w:next w:val="Normal"/>
    <w:link w:val="Ttulo4Char"/>
    <w:qFormat/>
    <w:rsid w:val="001D2854"/>
    <w:pPr>
      <w:keepNext/>
      <w:spacing w:line="480" w:lineRule="auto"/>
      <w:outlineLvl w:val="3"/>
    </w:pPr>
    <w:rPr>
      <w:rFonts w:ascii="Times New Roman" w:eastAsia="Times New Roman" w:hAnsi="Times New Roman" w:cs="Times New Roman"/>
      <w:b/>
      <w:bCs/>
      <w:sz w:val="24"/>
      <w:szCs w:val="26"/>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F6CA7"/>
    <w:pPr>
      <w:spacing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FF6CA7"/>
    <w:rPr>
      <w:rFonts w:ascii="Lucida Grande" w:hAnsi="Lucida Grande"/>
      <w:sz w:val="18"/>
      <w:szCs w:val="18"/>
      <w:lang w:val="pt-BR"/>
    </w:rPr>
  </w:style>
  <w:style w:type="character" w:customStyle="1" w:styleId="Ttulo4Char">
    <w:name w:val="Título 4 Char"/>
    <w:basedOn w:val="Fontepargpadro"/>
    <w:link w:val="Ttulo4"/>
    <w:rsid w:val="001D2854"/>
    <w:rPr>
      <w:rFonts w:ascii="Times New Roman" w:eastAsia="Times New Roman" w:hAnsi="Times New Roman" w:cs="Times New Roman"/>
      <w:b/>
      <w:bCs/>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A7"/>
    <w:pPr>
      <w:spacing w:after="0" w:line="360" w:lineRule="auto"/>
    </w:pPr>
    <w:rPr>
      <w:sz w:val="22"/>
      <w:szCs w:val="22"/>
      <w:lang w:val="pt-BR"/>
    </w:rPr>
  </w:style>
  <w:style w:type="paragraph" w:styleId="Ttulo4">
    <w:name w:val="heading 4"/>
    <w:basedOn w:val="Normal"/>
    <w:next w:val="Normal"/>
    <w:link w:val="Ttulo4Char"/>
    <w:qFormat/>
    <w:rsid w:val="001D2854"/>
    <w:pPr>
      <w:keepNext/>
      <w:spacing w:line="480" w:lineRule="auto"/>
      <w:outlineLvl w:val="3"/>
    </w:pPr>
    <w:rPr>
      <w:rFonts w:ascii="Times New Roman" w:eastAsia="Times New Roman" w:hAnsi="Times New Roman" w:cs="Times New Roman"/>
      <w:b/>
      <w:bCs/>
      <w:sz w:val="24"/>
      <w:szCs w:val="26"/>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F6CA7"/>
    <w:pPr>
      <w:spacing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FF6CA7"/>
    <w:rPr>
      <w:rFonts w:ascii="Lucida Grande" w:hAnsi="Lucida Grande"/>
      <w:sz w:val="18"/>
      <w:szCs w:val="18"/>
      <w:lang w:val="pt-BR"/>
    </w:rPr>
  </w:style>
  <w:style w:type="character" w:customStyle="1" w:styleId="Ttulo4Char">
    <w:name w:val="Título 4 Char"/>
    <w:basedOn w:val="Fontepargpadro"/>
    <w:link w:val="Ttulo4"/>
    <w:rsid w:val="001D2854"/>
    <w:rPr>
      <w:rFonts w:ascii="Times New Roman" w:eastAsia="Times New Roman" w:hAnsi="Times New Roman" w:cs="Times New Roman"/>
      <w:b/>
      <w:bCs/>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University of Liverpool</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Barbosa</dc:creator>
  <cp:lastModifiedBy>Marcelo Urbano</cp:lastModifiedBy>
  <cp:revision>2</cp:revision>
  <dcterms:created xsi:type="dcterms:W3CDTF">2014-07-22T17:28:00Z</dcterms:created>
  <dcterms:modified xsi:type="dcterms:W3CDTF">2014-07-22T17:28:00Z</dcterms:modified>
</cp:coreProperties>
</file>