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7" w:rsidRPr="00D203B3" w:rsidRDefault="003B7757" w:rsidP="003B7757">
      <w:bookmarkStart w:id="0" w:name="ST3"/>
      <w:r w:rsidRPr="00D203B3">
        <w:rPr>
          <w:b/>
        </w:rPr>
        <w:t>S3 Table</w:t>
      </w:r>
      <w:bookmarkEnd w:id="0"/>
      <w:r w:rsidRPr="00D203B3">
        <w:rPr>
          <w:b/>
        </w:rPr>
        <w:t>.</w:t>
      </w:r>
      <w:r w:rsidRPr="00D203B3">
        <w:t xml:space="preserve"> </w:t>
      </w:r>
      <w:r w:rsidRPr="00D203B3">
        <w:rPr>
          <w:b/>
          <w:bCs/>
        </w:rPr>
        <w:t xml:space="preserve">Selected baseline demographic, socioeconomic, and health characteristics by </w:t>
      </w:r>
      <w:proofErr w:type="spellStart"/>
      <w:r w:rsidRPr="00D203B3">
        <w:rPr>
          <w:b/>
          <w:bCs/>
        </w:rPr>
        <w:t>tertiles</w:t>
      </w:r>
      <w:proofErr w:type="spellEnd"/>
      <w:r w:rsidRPr="00D203B3">
        <w:rPr>
          <w:b/>
          <w:bCs/>
        </w:rPr>
        <w:t xml:space="preserve"> of unhealthy plant-based diet index in the Jackson Heart Study</w:t>
      </w:r>
    </w:p>
    <w:tbl>
      <w:tblPr>
        <w:tblW w:w="9279"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29"/>
        <w:gridCol w:w="1448"/>
        <w:gridCol w:w="1444"/>
        <w:gridCol w:w="1444"/>
        <w:gridCol w:w="914"/>
      </w:tblGrid>
      <w:tr w:rsidR="003B7757" w:rsidRPr="00D203B3" w:rsidTr="00EF0E9A">
        <w:trPr>
          <w:trHeight w:val="318"/>
        </w:trPr>
        <w:tc>
          <w:tcPr>
            <w:tcW w:w="4029" w:type="dxa"/>
            <w:vMerge w:val="restart"/>
            <w:tcBorders>
              <w:top w:val="single" w:sz="4" w:space="0" w:color="auto"/>
              <w:right w:val="single" w:sz="4" w:space="0" w:color="auto"/>
            </w:tcBorders>
            <w:shd w:val="clear" w:color="auto" w:fill="E7E6E6" w:themeFill="background2"/>
            <w:noWrap/>
            <w:vAlign w:val="center"/>
            <w:hideMark/>
          </w:tcPr>
          <w:p w:rsidR="003B7757" w:rsidRPr="00D203B3" w:rsidRDefault="003B7757" w:rsidP="00EF0E9A">
            <w:pPr>
              <w:jc w:val="center"/>
              <w:rPr>
                <w:rFonts w:ascii="Calibri" w:eastAsia="Times New Roman" w:hAnsi="Calibri" w:cs="Calibri"/>
                <w:color w:val="000000"/>
                <w:sz w:val="20"/>
                <w:szCs w:val="20"/>
              </w:rPr>
            </w:pPr>
          </w:p>
          <w:p w:rsidR="003B7757" w:rsidRPr="00D203B3" w:rsidRDefault="003B7757" w:rsidP="00EF0E9A">
            <w:pPr>
              <w:jc w:val="center"/>
              <w:rPr>
                <w:rFonts w:ascii="Calibri" w:eastAsia="Times New Roman" w:hAnsi="Calibri" w:cs="Calibri"/>
                <w:color w:val="000000"/>
                <w:sz w:val="20"/>
                <w:szCs w:val="20"/>
              </w:rPr>
            </w:pPr>
            <w:r w:rsidRPr="00D203B3">
              <w:rPr>
                <w:rFonts w:ascii="Calibri" w:eastAsia="Times New Roman" w:hAnsi="Calibri" w:cs="Calibri"/>
                <w:color w:val="000000"/>
                <w:sz w:val="20"/>
                <w:szCs w:val="20"/>
              </w:rPr>
              <w:t>Characteristic</w:t>
            </w:r>
          </w:p>
        </w:tc>
        <w:tc>
          <w:tcPr>
            <w:tcW w:w="5250" w:type="dxa"/>
            <w:gridSpan w:val="4"/>
            <w:tcBorders>
              <w:top w:val="single" w:sz="4" w:space="0" w:color="auto"/>
              <w:left w:val="single" w:sz="4" w:space="0" w:color="auto"/>
              <w:bottom w:val="single" w:sz="4" w:space="0" w:color="auto"/>
            </w:tcBorders>
            <w:shd w:val="clear" w:color="auto" w:fill="E7E6E6" w:themeFill="background2"/>
            <w:noWrap/>
            <w:vAlign w:val="bottom"/>
            <w:hideMark/>
          </w:tcPr>
          <w:p w:rsidR="003B7757" w:rsidRPr="00D203B3" w:rsidRDefault="003B7757" w:rsidP="00EF0E9A">
            <w:pPr>
              <w:jc w:val="center"/>
              <w:rPr>
                <w:rFonts w:ascii="Calibri" w:eastAsia="Times New Roman" w:hAnsi="Calibri" w:cs="Calibri"/>
                <w:color w:val="000000"/>
                <w:sz w:val="20"/>
                <w:szCs w:val="20"/>
              </w:rPr>
            </w:pPr>
            <w:r w:rsidRPr="00D203B3">
              <w:rPr>
                <w:rFonts w:ascii="Calibri" w:eastAsia="Times New Roman" w:hAnsi="Calibri" w:cs="Calibri"/>
                <w:color w:val="000000"/>
                <w:sz w:val="20"/>
                <w:szCs w:val="20"/>
              </w:rPr>
              <w:t>Unhealthy Plant-Based Diet Index</w:t>
            </w:r>
          </w:p>
        </w:tc>
      </w:tr>
      <w:tr w:rsidR="003B7757" w:rsidRPr="00D203B3" w:rsidTr="00EF0E9A">
        <w:trPr>
          <w:trHeight w:val="318"/>
        </w:trPr>
        <w:tc>
          <w:tcPr>
            <w:tcW w:w="4029" w:type="dxa"/>
            <w:vMerge/>
            <w:tcBorders>
              <w:bottom w:val="single" w:sz="4" w:space="0" w:color="auto"/>
              <w:right w:val="single" w:sz="4" w:space="0" w:color="auto"/>
            </w:tcBorders>
            <w:shd w:val="clear" w:color="auto" w:fill="E7E6E6" w:themeFill="background2"/>
            <w:noWrap/>
            <w:vAlign w:val="bottom"/>
            <w:hideMark/>
          </w:tcPr>
          <w:p w:rsidR="003B7757" w:rsidRPr="00D203B3" w:rsidRDefault="003B7757" w:rsidP="00EF0E9A">
            <w:pPr>
              <w:rPr>
                <w:rFonts w:ascii="Calibri" w:eastAsia="Times New Roman" w:hAnsi="Calibri" w:cs="Calibri"/>
                <w:color w:val="000000"/>
                <w:sz w:val="20"/>
                <w:szCs w:val="20"/>
              </w:rPr>
            </w:pPr>
          </w:p>
        </w:tc>
        <w:tc>
          <w:tcPr>
            <w:tcW w:w="1448" w:type="dxa"/>
            <w:tcBorders>
              <w:top w:val="single" w:sz="4" w:space="0" w:color="auto"/>
              <w:left w:val="single" w:sz="4" w:space="0" w:color="auto"/>
              <w:bottom w:val="single" w:sz="4" w:space="0" w:color="auto"/>
            </w:tcBorders>
            <w:shd w:val="clear" w:color="auto" w:fill="E7E6E6" w:themeFill="background2"/>
            <w:noWrap/>
            <w:vAlign w:val="bottom"/>
            <w:hideMark/>
          </w:tcPr>
          <w:p w:rsidR="003B7757" w:rsidRPr="00D203B3" w:rsidRDefault="003B7757" w:rsidP="00EF0E9A">
            <w:pPr>
              <w:jc w:val="center"/>
              <w:rPr>
                <w:rFonts w:ascii="Calibri" w:eastAsia="Times New Roman" w:hAnsi="Calibri" w:cs="Calibri"/>
                <w:color w:val="000000"/>
                <w:sz w:val="20"/>
                <w:szCs w:val="20"/>
              </w:rPr>
            </w:pPr>
            <w:proofErr w:type="spellStart"/>
            <w:r w:rsidRPr="00D203B3">
              <w:rPr>
                <w:rFonts w:ascii="Calibri" w:eastAsia="Times New Roman" w:hAnsi="Calibri" w:cs="Calibri"/>
                <w:color w:val="000000"/>
                <w:sz w:val="20"/>
                <w:szCs w:val="20"/>
              </w:rPr>
              <w:t>Tertile</w:t>
            </w:r>
            <w:proofErr w:type="spellEnd"/>
            <w:r w:rsidRPr="00D203B3">
              <w:rPr>
                <w:rFonts w:ascii="Calibri" w:eastAsia="Times New Roman" w:hAnsi="Calibri" w:cs="Calibri"/>
                <w:color w:val="000000"/>
                <w:sz w:val="20"/>
                <w:szCs w:val="20"/>
              </w:rPr>
              <w:t xml:space="preserve"> 1</w:t>
            </w:r>
          </w:p>
          <w:p w:rsidR="003B7757" w:rsidRPr="00D203B3" w:rsidRDefault="003B7757" w:rsidP="00EF0E9A">
            <w:pPr>
              <w:jc w:val="center"/>
              <w:rPr>
                <w:rFonts w:ascii="Calibri" w:eastAsia="Times New Roman" w:hAnsi="Calibri" w:cs="Calibri"/>
                <w:color w:val="000000"/>
                <w:sz w:val="20"/>
                <w:szCs w:val="20"/>
              </w:rPr>
            </w:pPr>
            <w:r w:rsidRPr="00D203B3">
              <w:rPr>
                <w:rFonts w:ascii="Calibri" w:eastAsia="Times New Roman" w:hAnsi="Calibri" w:cs="Calibri"/>
                <w:color w:val="000000"/>
                <w:sz w:val="20"/>
                <w:szCs w:val="20"/>
              </w:rPr>
              <w:t>n=1,289 (35.5%)</w:t>
            </w:r>
          </w:p>
        </w:tc>
        <w:tc>
          <w:tcPr>
            <w:tcW w:w="1444" w:type="dxa"/>
            <w:tcBorders>
              <w:top w:val="single" w:sz="4" w:space="0" w:color="auto"/>
              <w:bottom w:val="single" w:sz="4" w:space="0" w:color="auto"/>
            </w:tcBorders>
            <w:shd w:val="clear" w:color="auto" w:fill="E7E6E6" w:themeFill="background2"/>
            <w:noWrap/>
            <w:vAlign w:val="bottom"/>
            <w:hideMark/>
          </w:tcPr>
          <w:p w:rsidR="003B7757" w:rsidRPr="00D203B3" w:rsidRDefault="003B7757" w:rsidP="00EF0E9A">
            <w:pPr>
              <w:jc w:val="center"/>
              <w:rPr>
                <w:rFonts w:ascii="Calibri" w:eastAsia="Times New Roman" w:hAnsi="Calibri" w:cs="Calibri"/>
                <w:color w:val="000000"/>
                <w:sz w:val="20"/>
                <w:szCs w:val="20"/>
              </w:rPr>
            </w:pPr>
            <w:proofErr w:type="spellStart"/>
            <w:r w:rsidRPr="00D203B3">
              <w:rPr>
                <w:rFonts w:ascii="Calibri" w:eastAsia="Times New Roman" w:hAnsi="Calibri" w:cs="Calibri"/>
                <w:color w:val="000000"/>
                <w:sz w:val="20"/>
                <w:szCs w:val="20"/>
              </w:rPr>
              <w:t>Tertile</w:t>
            </w:r>
            <w:proofErr w:type="spellEnd"/>
            <w:r w:rsidRPr="00D203B3">
              <w:rPr>
                <w:rFonts w:ascii="Calibri" w:eastAsia="Times New Roman" w:hAnsi="Calibri" w:cs="Calibri"/>
                <w:color w:val="000000"/>
                <w:sz w:val="20"/>
                <w:szCs w:val="20"/>
              </w:rPr>
              <w:t xml:space="preserve"> 2</w:t>
            </w:r>
          </w:p>
          <w:p w:rsidR="003B7757" w:rsidRPr="00D203B3" w:rsidRDefault="003B7757" w:rsidP="00EF0E9A">
            <w:pPr>
              <w:jc w:val="center"/>
              <w:rPr>
                <w:rFonts w:ascii="Calibri" w:eastAsia="Times New Roman" w:hAnsi="Calibri" w:cs="Calibri"/>
                <w:color w:val="000000"/>
                <w:sz w:val="20"/>
                <w:szCs w:val="20"/>
              </w:rPr>
            </w:pPr>
            <w:r w:rsidRPr="00D203B3">
              <w:rPr>
                <w:rFonts w:ascii="Calibri" w:eastAsia="Times New Roman" w:hAnsi="Calibri" w:cs="Calibri"/>
                <w:color w:val="000000"/>
                <w:sz w:val="20"/>
                <w:szCs w:val="20"/>
              </w:rPr>
              <w:t>n=1,247 (34.3%)</w:t>
            </w:r>
          </w:p>
        </w:tc>
        <w:tc>
          <w:tcPr>
            <w:tcW w:w="1444" w:type="dxa"/>
            <w:tcBorders>
              <w:top w:val="single" w:sz="4" w:space="0" w:color="auto"/>
              <w:bottom w:val="single" w:sz="4" w:space="0" w:color="auto"/>
            </w:tcBorders>
            <w:shd w:val="clear" w:color="auto" w:fill="E7E6E6" w:themeFill="background2"/>
            <w:noWrap/>
            <w:vAlign w:val="bottom"/>
            <w:hideMark/>
          </w:tcPr>
          <w:p w:rsidR="003B7757" w:rsidRPr="00D203B3" w:rsidRDefault="003B7757" w:rsidP="00EF0E9A">
            <w:pPr>
              <w:jc w:val="center"/>
              <w:rPr>
                <w:rFonts w:ascii="Calibri" w:eastAsia="Times New Roman" w:hAnsi="Calibri" w:cs="Calibri"/>
                <w:color w:val="000000"/>
                <w:sz w:val="20"/>
                <w:szCs w:val="20"/>
              </w:rPr>
            </w:pPr>
            <w:proofErr w:type="spellStart"/>
            <w:r w:rsidRPr="00D203B3">
              <w:rPr>
                <w:rFonts w:ascii="Calibri" w:eastAsia="Times New Roman" w:hAnsi="Calibri" w:cs="Calibri"/>
                <w:color w:val="000000"/>
                <w:sz w:val="20"/>
                <w:szCs w:val="20"/>
              </w:rPr>
              <w:t>Tertile</w:t>
            </w:r>
            <w:proofErr w:type="spellEnd"/>
            <w:r w:rsidRPr="00D203B3">
              <w:rPr>
                <w:rFonts w:ascii="Calibri" w:eastAsia="Times New Roman" w:hAnsi="Calibri" w:cs="Calibri"/>
                <w:color w:val="000000"/>
                <w:sz w:val="20"/>
                <w:szCs w:val="20"/>
              </w:rPr>
              <w:t xml:space="preserve"> 3</w:t>
            </w:r>
          </w:p>
          <w:p w:rsidR="003B7757" w:rsidRPr="00D203B3" w:rsidRDefault="003B7757" w:rsidP="00EF0E9A">
            <w:pPr>
              <w:jc w:val="center"/>
              <w:rPr>
                <w:rFonts w:ascii="Calibri" w:eastAsia="Times New Roman" w:hAnsi="Calibri" w:cs="Calibri"/>
                <w:color w:val="000000"/>
                <w:sz w:val="20"/>
                <w:szCs w:val="20"/>
              </w:rPr>
            </w:pPr>
            <w:r w:rsidRPr="00D203B3">
              <w:rPr>
                <w:rFonts w:ascii="Calibri" w:eastAsia="Times New Roman" w:hAnsi="Calibri" w:cs="Calibri"/>
                <w:color w:val="000000"/>
                <w:sz w:val="20"/>
                <w:szCs w:val="20"/>
              </w:rPr>
              <w:t>n=1,099 (30.2%)</w:t>
            </w:r>
          </w:p>
        </w:tc>
        <w:tc>
          <w:tcPr>
            <w:tcW w:w="914" w:type="dxa"/>
            <w:tcBorders>
              <w:top w:val="single" w:sz="4" w:space="0" w:color="auto"/>
              <w:bottom w:val="single" w:sz="4" w:space="0" w:color="auto"/>
            </w:tcBorders>
            <w:shd w:val="clear" w:color="auto" w:fill="E7E6E6" w:themeFill="background2"/>
            <w:noWrap/>
            <w:vAlign w:val="bottom"/>
            <w:hideMark/>
          </w:tcPr>
          <w:p w:rsidR="003B7757" w:rsidRPr="00D203B3" w:rsidRDefault="003B7757" w:rsidP="00EF0E9A">
            <w:pPr>
              <w:jc w:val="center"/>
              <w:rPr>
                <w:rFonts w:ascii="Calibri" w:eastAsia="Times New Roman" w:hAnsi="Calibri" w:cs="Calibri"/>
                <w:color w:val="000000"/>
                <w:sz w:val="20"/>
                <w:szCs w:val="20"/>
              </w:rPr>
            </w:pPr>
            <w:r w:rsidRPr="00D203B3">
              <w:rPr>
                <w:rFonts w:ascii="Calibri" w:eastAsia="Times New Roman" w:hAnsi="Calibri" w:cs="Calibri"/>
                <w:color w:val="000000"/>
                <w:sz w:val="20"/>
                <w:szCs w:val="20"/>
              </w:rPr>
              <w:t>p-value</w:t>
            </w:r>
          </w:p>
        </w:tc>
      </w:tr>
      <w:tr w:rsidR="003B7757" w:rsidRPr="00D203B3" w:rsidTr="00EF0E9A">
        <w:trPr>
          <w:trHeight w:val="318"/>
        </w:trPr>
        <w:tc>
          <w:tcPr>
            <w:tcW w:w="4029" w:type="dxa"/>
            <w:tcBorders>
              <w:top w:val="single" w:sz="4" w:space="0" w:color="auto"/>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rPr>
            </w:pPr>
            <w:r w:rsidRPr="00D203B3">
              <w:rPr>
                <w:rFonts w:ascii="Calibri" w:eastAsia="Times New Roman" w:hAnsi="Calibri" w:cs="Calibri"/>
                <w:color w:val="000000"/>
                <w:sz w:val="20"/>
                <w:szCs w:val="20"/>
              </w:rPr>
              <w:t>Median Index Score (Range)</w:t>
            </w:r>
          </w:p>
        </w:tc>
        <w:tc>
          <w:tcPr>
            <w:tcW w:w="1448" w:type="dxa"/>
            <w:tcBorders>
              <w:top w:val="single" w:sz="4" w:space="0" w:color="auto"/>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48 (35-51)</w:t>
            </w:r>
          </w:p>
        </w:tc>
        <w:tc>
          <w:tcPr>
            <w:tcW w:w="1444" w:type="dxa"/>
            <w:tcBorders>
              <w:top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54 (52-57)</w:t>
            </w:r>
          </w:p>
        </w:tc>
        <w:tc>
          <w:tcPr>
            <w:tcW w:w="1444" w:type="dxa"/>
            <w:tcBorders>
              <w:top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61 (58-73)</w:t>
            </w:r>
          </w:p>
        </w:tc>
        <w:tc>
          <w:tcPr>
            <w:tcW w:w="914" w:type="dxa"/>
            <w:tcBorders>
              <w:top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Age, years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54.7 (11.5)</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54.4 (12.6)</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52.1 (13.7)</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Female, %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68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63.7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59.9</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Total energy intake, kcal/day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2286 (886)</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2136 (911)</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2368 (906)</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Educational attainment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ind w:left="431" w:hanging="431"/>
              <w:rPr>
                <w:rFonts w:ascii="Calibri" w:eastAsia="Times New Roman" w:hAnsi="Calibri" w:cs="Calibri"/>
                <w:color w:val="000000"/>
                <w:sz w:val="20"/>
                <w:szCs w:val="20"/>
              </w:rPr>
            </w:pPr>
            <w:r w:rsidRPr="00D203B3">
              <w:rPr>
                <w:rFonts w:ascii="Calibri" w:eastAsia="Times New Roman" w:hAnsi="Calibri" w:cs="Calibri"/>
                <w:color w:val="000000"/>
                <w:sz w:val="20"/>
                <w:szCs w:val="20"/>
              </w:rPr>
              <w:tab/>
              <w:t>Less than high school/GED,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10.9</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16.9</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18.3</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 </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ind w:left="431" w:hanging="431"/>
              <w:rPr>
                <w:rFonts w:ascii="Calibri" w:eastAsia="Times New Roman" w:hAnsi="Calibri" w:cs="Calibri"/>
                <w:color w:val="000000"/>
                <w:sz w:val="20"/>
                <w:szCs w:val="20"/>
              </w:rPr>
            </w:pPr>
            <w:r w:rsidRPr="00D203B3">
              <w:rPr>
                <w:rFonts w:ascii="Calibri" w:eastAsia="Times New Roman" w:hAnsi="Calibri" w:cs="Calibri"/>
                <w:color w:val="000000"/>
                <w:sz w:val="20"/>
                <w:szCs w:val="20"/>
              </w:rPr>
              <w:tab/>
              <w:t>High school or GED completion,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17.8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20.8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20.2</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 </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ind w:left="431" w:hanging="431"/>
              <w:rPr>
                <w:rFonts w:ascii="Calibri" w:eastAsia="Times New Roman" w:hAnsi="Calibri" w:cs="Calibri"/>
                <w:color w:val="000000"/>
                <w:sz w:val="20"/>
                <w:szCs w:val="20"/>
              </w:rPr>
            </w:pPr>
            <w:r w:rsidRPr="00D203B3">
              <w:rPr>
                <w:rFonts w:ascii="Calibri" w:eastAsia="Times New Roman" w:hAnsi="Calibri" w:cs="Calibri"/>
                <w:color w:val="000000"/>
                <w:sz w:val="20"/>
                <w:szCs w:val="20"/>
              </w:rPr>
              <w:tab/>
              <w:t>Attended college or trade school,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71.4</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62.3</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61.5</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 </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Smoking Status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ind w:left="341" w:hanging="341"/>
              <w:rPr>
                <w:rFonts w:ascii="Calibri" w:eastAsia="Times New Roman" w:hAnsi="Calibri" w:cs="Calibri"/>
                <w:color w:val="000000"/>
                <w:sz w:val="20"/>
                <w:szCs w:val="20"/>
              </w:rPr>
            </w:pPr>
            <w:r w:rsidRPr="00D203B3">
              <w:rPr>
                <w:rFonts w:ascii="Calibri" w:eastAsia="Times New Roman" w:hAnsi="Calibri" w:cs="Calibri"/>
                <w:color w:val="000000"/>
                <w:sz w:val="20"/>
                <w:szCs w:val="20"/>
              </w:rPr>
              <w:tab/>
              <w:t>Current smoker,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9.7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10.9</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13.3</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 </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ind w:left="341" w:hanging="341"/>
              <w:rPr>
                <w:rFonts w:ascii="Calibri" w:eastAsia="Times New Roman" w:hAnsi="Calibri" w:cs="Calibri"/>
                <w:color w:val="000000"/>
                <w:sz w:val="20"/>
                <w:szCs w:val="20"/>
              </w:rPr>
            </w:pPr>
            <w:r w:rsidRPr="00D203B3">
              <w:rPr>
                <w:rFonts w:ascii="Calibri" w:eastAsia="Times New Roman" w:hAnsi="Calibri" w:cs="Calibri"/>
                <w:color w:val="000000"/>
                <w:sz w:val="20"/>
                <w:szCs w:val="20"/>
              </w:rPr>
              <w:tab/>
              <w:t>Former smoker,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20.6</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18.4</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13.4</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 </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Physical activity index </w:t>
            </w:r>
            <w:r w:rsidRPr="00D203B3">
              <w:rPr>
                <w:rFonts w:ascii="Calibri" w:eastAsia="Times New Roman" w:hAnsi="Calibri" w:cs="Calibri"/>
                <w:color w:val="000000"/>
                <w:sz w:val="20"/>
                <w:szCs w:val="20"/>
                <w:vertAlign w:val="superscript"/>
              </w:rPr>
              <w:t>*</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2.2 (0.8)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2.1 (0.8)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2.0 (0.8)</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Alcohol intake, g/day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3.3 (9.4)</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3.5 (10.7)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4.9 (16.8)</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0.006</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Margarine intake, servings/day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1.3 (1.8)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1.2 (1.7)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1.3 (1.7)</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0.538</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Fasting total cholesterol, mg/dl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200 (37)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201 (40)</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199 (39)</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0.551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Hypertension, % </w:t>
            </w:r>
            <w:r w:rsidRPr="00D203B3">
              <w:rPr>
                <w:rFonts w:ascii="Calibri" w:eastAsia="Times New Roman" w:hAnsi="Calibri" w:cs="Calibri"/>
                <w:color w:val="000000"/>
                <w:sz w:val="20"/>
                <w:szCs w:val="20"/>
                <w:vertAlign w:val="superscript"/>
              </w:rPr>
              <w:t>†</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55.7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52.8</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48.1</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Diabetes, % </w:t>
            </w:r>
            <w:r w:rsidRPr="00D203B3">
              <w:rPr>
                <w:rFonts w:ascii="Calibri" w:eastAsia="Times New Roman" w:hAnsi="Calibri" w:cs="Calibri"/>
                <w:color w:val="000000"/>
                <w:sz w:val="20"/>
                <w:szCs w:val="20"/>
                <w:vertAlign w:val="superscript"/>
              </w:rPr>
              <w:t>‡</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24.2</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19.6</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11.5</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eGFR, ml/min/1.73m</w:t>
            </w:r>
            <w:r w:rsidRPr="00D203B3">
              <w:rPr>
                <w:rFonts w:ascii="Calibri" w:eastAsia="Times New Roman" w:hAnsi="Calibri" w:cs="Calibri"/>
                <w:color w:val="000000"/>
                <w:sz w:val="20"/>
                <w:szCs w:val="20"/>
                <w:vertAlign w:val="superscript"/>
              </w:rPr>
              <w:t>2</w:t>
            </w:r>
            <w:r w:rsidRPr="00D203B3">
              <w:rPr>
                <w:rFonts w:ascii="Calibri" w:eastAsia="Times New Roman" w:hAnsi="Calibri" w:cs="Calibri"/>
                <w:color w:val="000000"/>
                <w:sz w:val="20"/>
                <w:szCs w:val="20"/>
              </w:rPr>
              <w:t xml:space="preserve"> </w:t>
            </w:r>
            <w:r w:rsidRPr="00D203B3">
              <w:rPr>
                <w:rFonts w:ascii="Calibri" w:eastAsia="Times New Roman" w:hAnsi="Calibri" w:cs="Calibri"/>
                <w:color w:val="000000"/>
                <w:sz w:val="20"/>
                <w:szCs w:val="20"/>
                <w:vertAlign w:val="superscript"/>
              </w:rPr>
              <w:t>§</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96.1 (20.0)</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95.3 (20.2)</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97.0 (20.8)</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0.136</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rPr>
            </w:pPr>
            <w:r w:rsidRPr="00D203B3">
              <w:rPr>
                <w:rFonts w:ascii="Calibri" w:eastAsia="Times New Roman" w:hAnsi="Calibri" w:cs="Calibri"/>
                <w:color w:val="000000"/>
                <w:sz w:val="20"/>
                <w:szCs w:val="20"/>
              </w:rPr>
              <w:t>BMI, kg/m</w:t>
            </w:r>
            <w:r w:rsidRPr="00D203B3">
              <w:rPr>
                <w:rFonts w:ascii="Calibri" w:eastAsia="Times New Roman" w:hAnsi="Calibri" w:cs="Calibri"/>
                <w:color w:val="000000"/>
                <w:sz w:val="20"/>
                <w:szCs w:val="20"/>
                <w:vertAlign w:val="superscript"/>
              </w:rPr>
              <w:t xml:space="preserve">2 </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32.2 (7.0)</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31.7 (7.0)</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31.2 (7.5)</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0.002</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rPr>
            </w:pPr>
            <w:r w:rsidRPr="00D203B3">
              <w:rPr>
                <w:rFonts w:ascii="Calibri" w:eastAsia="Times New Roman" w:hAnsi="Calibri" w:cs="Calibri"/>
                <w:color w:val="000000"/>
                <w:sz w:val="20"/>
                <w:szCs w:val="20"/>
              </w:rPr>
              <w:t>HRT medication use history, % of females</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19.0</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17.6</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16.9</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0.963</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Statin medication use, % </w:t>
            </w:r>
          </w:p>
        </w:tc>
        <w:tc>
          <w:tcPr>
            <w:tcW w:w="1448" w:type="dxa"/>
            <w:tcBorders>
              <w:left w:val="single" w:sz="4" w:space="0" w:color="auto"/>
            </w:tcBorders>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11.6</w:t>
            </w:r>
          </w:p>
        </w:tc>
        <w:tc>
          <w:tcPr>
            <w:tcW w:w="1444" w:type="dxa"/>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12.3</w:t>
            </w:r>
          </w:p>
        </w:tc>
        <w:tc>
          <w:tcPr>
            <w:tcW w:w="1444" w:type="dxa"/>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9.3</w:t>
            </w:r>
          </w:p>
        </w:tc>
        <w:tc>
          <w:tcPr>
            <w:tcW w:w="914" w:type="dxa"/>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0.058</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rPr>
            </w:pPr>
            <w:r w:rsidRPr="00D203B3">
              <w:rPr>
                <w:rFonts w:ascii="Calibri" w:eastAsia="Times New Roman" w:hAnsi="Calibri" w:cs="Calibri"/>
                <w:color w:val="000000"/>
                <w:sz w:val="20"/>
                <w:szCs w:val="20"/>
              </w:rPr>
              <w:t>Systolic blood pressure, mmHg</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127 (16)</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126 (17)</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127 (17)</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0.215</w:t>
            </w:r>
          </w:p>
        </w:tc>
      </w:tr>
      <w:tr w:rsidR="003B7757" w:rsidRPr="00D203B3" w:rsidTr="00EF0E9A">
        <w:trPr>
          <w:trHeight w:val="107"/>
        </w:trPr>
        <w:tc>
          <w:tcPr>
            <w:tcW w:w="4029" w:type="dxa"/>
            <w:tcBorders>
              <w:top w:val="nil"/>
              <w:bottom w:val="nil"/>
              <w:right w:val="single" w:sz="4" w:space="0" w:color="auto"/>
            </w:tcBorders>
            <w:shd w:val="clear" w:color="auto" w:fill="auto"/>
            <w:noWrap/>
            <w:vAlign w:val="bottom"/>
            <w:hideMark/>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HbA1c, </w:t>
            </w:r>
            <w:r w:rsidRPr="00BD4592">
              <w:rPr>
                <w:rFonts w:ascii="Calibri" w:eastAsia="Times New Roman" w:hAnsi="Calibri" w:cs="Calibri"/>
                <w:color w:val="000000"/>
                <w:sz w:val="20"/>
                <w:szCs w:val="20"/>
              </w:rPr>
              <w:t>mmol/mol</w:t>
            </w:r>
          </w:p>
        </w:tc>
        <w:tc>
          <w:tcPr>
            <w:tcW w:w="1448" w:type="dxa"/>
            <w:tcBorders>
              <w:left w:val="single" w:sz="4" w:space="0" w:color="auto"/>
            </w:tcBorders>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Pr>
                <w:rFonts w:ascii="Calibri" w:eastAsia="Times New Roman" w:hAnsi="Calibri" w:cs="Calibri"/>
                <w:color w:val="000000"/>
                <w:sz w:val="20"/>
                <w:szCs w:val="20"/>
              </w:rPr>
              <w:t>42</w:t>
            </w:r>
            <w:r w:rsidRPr="00D203B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14.2</w:t>
            </w:r>
            <w:r w:rsidRPr="00D203B3">
              <w:rPr>
                <w:rFonts w:ascii="Calibri" w:eastAsia="Times New Roman" w:hAnsi="Calibri" w:cs="Calibri"/>
                <w:color w:val="000000"/>
                <w:sz w:val="20"/>
                <w:szCs w:val="20"/>
              </w:rPr>
              <w:t>)</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Pr>
                <w:rFonts w:ascii="Calibri" w:eastAsia="Times New Roman" w:hAnsi="Calibri" w:cs="Calibri"/>
                <w:color w:val="000000"/>
                <w:sz w:val="20"/>
                <w:szCs w:val="20"/>
              </w:rPr>
              <w:t>41</w:t>
            </w:r>
            <w:r w:rsidRPr="00D203B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12.0</w:t>
            </w:r>
            <w:r w:rsidRPr="00D203B3">
              <w:rPr>
                <w:rFonts w:ascii="Calibri" w:eastAsia="Times New Roman" w:hAnsi="Calibri" w:cs="Calibri"/>
                <w:color w:val="000000"/>
                <w:sz w:val="20"/>
                <w:szCs w:val="20"/>
              </w:rPr>
              <w:t>)</w:t>
            </w:r>
          </w:p>
        </w:tc>
        <w:tc>
          <w:tcPr>
            <w:tcW w:w="144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Pr>
                <w:rFonts w:ascii="Calibri" w:eastAsia="Times New Roman" w:hAnsi="Calibri" w:cs="Calibri"/>
                <w:color w:val="000000"/>
                <w:sz w:val="20"/>
                <w:szCs w:val="20"/>
              </w:rPr>
              <w:t>39</w:t>
            </w:r>
            <w:r w:rsidRPr="00D203B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9.8</w:t>
            </w:r>
            <w:r w:rsidRPr="00D203B3">
              <w:rPr>
                <w:rFonts w:ascii="Calibri" w:eastAsia="Times New Roman" w:hAnsi="Calibri" w:cs="Calibri"/>
                <w:color w:val="000000"/>
                <w:sz w:val="20"/>
                <w:szCs w:val="20"/>
              </w:rPr>
              <w:t>)</w:t>
            </w:r>
          </w:p>
        </w:tc>
        <w:tc>
          <w:tcPr>
            <w:tcW w:w="914" w:type="dxa"/>
            <w:shd w:val="clear" w:color="auto" w:fill="auto"/>
            <w:noWrap/>
            <w:vAlign w:val="bottom"/>
            <w:hideMark/>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r w:rsidR="003B7757" w:rsidRPr="00D203B3" w:rsidTr="00EF0E9A">
        <w:trPr>
          <w:trHeight w:val="107"/>
        </w:trPr>
        <w:tc>
          <w:tcPr>
            <w:tcW w:w="4029" w:type="dxa"/>
            <w:tcBorders>
              <w:top w:val="nil"/>
              <w:bottom w:val="single" w:sz="4" w:space="0" w:color="auto"/>
              <w:right w:val="single" w:sz="4" w:space="0" w:color="auto"/>
            </w:tcBorders>
            <w:shd w:val="clear" w:color="auto" w:fill="auto"/>
            <w:noWrap/>
            <w:vAlign w:val="bottom"/>
          </w:tcPr>
          <w:p w:rsidR="003B7757" w:rsidRPr="00D203B3" w:rsidRDefault="003B7757" w:rsidP="00EF0E9A">
            <w:pPr>
              <w:rPr>
                <w:rFonts w:ascii="Calibri" w:eastAsia="Times New Roman" w:hAnsi="Calibri" w:cs="Calibri"/>
                <w:color w:val="000000"/>
                <w:sz w:val="20"/>
                <w:szCs w:val="20"/>
                <w:vertAlign w:val="superscript"/>
              </w:rPr>
            </w:pPr>
            <w:r w:rsidRPr="00D203B3">
              <w:rPr>
                <w:rFonts w:ascii="Calibri" w:eastAsia="Times New Roman" w:hAnsi="Calibri" w:cs="Calibri"/>
                <w:color w:val="000000"/>
                <w:sz w:val="20"/>
                <w:szCs w:val="20"/>
              </w:rPr>
              <w:t xml:space="preserve">Life’s Simple 7 Total Score </w:t>
            </w:r>
            <w:r w:rsidRPr="00D203B3">
              <w:rPr>
                <w:rFonts w:ascii="Calibri" w:eastAsia="Times New Roman" w:hAnsi="Calibri" w:cs="Calibri"/>
                <w:color w:val="000000"/>
                <w:sz w:val="20"/>
                <w:szCs w:val="20"/>
                <w:vertAlign w:val="superscript"/>
              </w:rPr>
              <w:t>||</w:t>
            </w:r>
          </w:p>
        </w:tc>
        <w:tc>
          <w:tcPr>
            <w:tcW w:w="1448" w:type="dxa"/>
            <w:tcBorders>
              <w:left w:val="single" w:sz="4" w:space="0" w:color="auto"/>
            </w:tcBorders>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7.4 (2.1)</w:t>
            </w:r>
          </w:p>
        </w:tc>
        <w:tc>
          <w:tcPr>
            <w:tcW w:w="1444" w:type="dxa"/>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7.1 (2.1)</w:t>
            </w:r>
          </w:p>
        </w:tc>
        <w:tc>
          <w:tcPr>
            <w:tcW w:w="1444" w:type="dxa"/>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7.0 (2.0)</w:t>
            </w:r>
          </w:p>
        </w:tc>
        <w:tc>
          <w:tcPr>
            <w:tcW w:w="914" w:type="dxa"/>
            <w:shd w:val="clear" w:color="auto" w:fill="auto"/>
            <w:noWrap/>
            <w:vAlign w:val="bottom"/>
          </w:tcPr>
          <w:p w:rsidR="003B7757" w:rsidRPr="00D203B3" w:rsidRDefault="003B7757" w:rsidP="00EF0E9A">
            <w:pPr>
              <w:jc w:val="right"/>
              <w:rPr>
                <w:rFonts w:ascii="Calibri" w:eastAsia="Times New Roman" w:hAnsi="Calibri" w:cs="Calibri"/>
                <w:color w:val="000000"/>
                <w:sz w:val="20"/>
                <w:szCs w:val="20"/>
              </w:rPr>
            </w:pPr>
            <w:r w:rsidRPr="00D203B3">
              <w:rPr>
                <w:rFonts w:ascii="Calibri" w:eastAsia="Times New Roman" w:hAnsi="Calibri" w:cs="Calibri"/>
                <w:color w:val="000000"/>
                <w:sz w:val="20"/>
                <w:szCs w:val="20"/>
              </w:rPr>
              <w:t>&lt;0.001</w:t>
            </w:r>
          </w:p>
        </w:tc>
      </w:tr>
    </w:tbl>
    <w:p w:rsidR="003B7757" w:rsidRPr="00D203B3" w:rsidRDefault="003B7757" w:rsidP="003B7757">
      <w:pPr>
        <w:rPr>
          <w:sz w:val="20"/>
          <w:szCs w:val="20"/>
        </w:rPr>
      </w:pPr>
      <w:r w:rsidRPr="00D203B3">
        <w:rPr>
          <w:sz w:val="20"/>
          <w:szCs w:val="20"/>
        </w:rPr>
        <w:t xml:space="preserve">Values are means (standard deviations) for continuous variables and % for categorical variables unless otherwise noted. Statistical differences in </w:t>
      </w:r>
      <w:proofErr w:type="spellStart"/>
      <w:r w:rsidRPr="00D203B3">
        <w:rPr>
          <w:sz w:val="20"/>
          <w:szCs w:val="20"/>
        </w:rPr>
        <w:t>tertiles</w:t>
      </w:r>
      <w:proofErr w:type="spellEnd"/>
      <w:r w:rsidRPr="00D203B3">
        <w:rPr>
          <w:sz w:val="20"/>
          <w:szCs w:val="20"/>
        </w:rPr>
        <w:t xml:space="preserve"> of plant-based diet index were tested using analysis of variance for continuous variables and chi-square tests for categorical variables, with p&lt;0.05 denoting statistical significance. </w:t>
      </w:r>
    </w:p>
    <w:p w:rsidR="003B7757" w:rsidRPr="00D203B3" w:rsidRDefault="003B7757" w:rsidP="003B7757">
      <w:pPr>
        <w:rPr>
          <w:sz w:val="20"/>
          <w:szCs w:val="20"/>
        </w:rPr>
      </w:pPr>
      <w:r w:rsidRPr="00D203B3">
        <w:rPr>
          <w:sz w:val="20"/>
          <w:szCs w:val="20"/>
          <w:vertAlign w:val="superscript"/>
        </w:rPr>
        <w:t xml:space="preserve">* </w:t>
      </w:r>
      <w:r w:rsidRPr="00D203B3">
        <w:rPr>
          <w:sz w:val="20"/>
          <w:szCs w:val="20"/>
        </w:rPr>
        <w:t xml:space="preserve">Physical activity index is a measure from 0 (low) to 5 (high) of activity in daily living. </w:t>
      </w:r>
    </w:p>
    <w:p w:rsidR="003B7757" w:rsidRPr="00D203B3" w:rsidRDefault="003B7757" w:rsidP="003B7757">
      <w:pPr>
        <w:rPr>
          <w:bCs/>
          <w:sz w:val="20"/>
          <w:szCs w:val="20"/>
        </w:rPr>
      </w:pPr>
      <w:r w:rsidRPr="00D203B3">
        <w:rPr>
          <w:rFonts w:ascii="Calibri" w:eastAsia="Times New Roman" w:hAnsi="Calibri" w:cs="Calibri"/>
          <w:color w:val="000000"/>
          <w:sz w:val="20"/>
          <w:szCs w:val="20"/>
          <w:vertAlign w:val="superscript"/>
        </w:rPr>
        <w:t>†</w:t>
      </w:r>
      <w:r w:rsidRPr="00D203B3">
        <w:rPr>
          <w:sz w:val="20"/>
          <w:szCs w:val="20"/>
          <w:vertAlign w:val="superscript"/>
        </w:rPr>
        <w:t xml:space="preserve"> </w:t>
      </w:r>
      <w:r w:rsidRPr="00D203B3">
        <w:rPr>
          <w:bCs/>
          <w:sz w:val="20"/>
          <w:szCs w:val="20"/>
        </w:rPr>
        <w:t>Hypertension was defined as having blood pressure ≥ 140/90 mmHg or use of blood pressure-lowering medication within two weeks prior to the clinic visit.</w:t>
      </w:r>
    </w:p>
    <w:p w:rsidR="003B7757" w:rsidRPr="00D203B3" w:rsidRDefault="003B7757" w:rsidP="003B7757">
      <w:pPr>
        <w:rPr>
          <w:bCs/>
          <w:sz w:val="20"/>
          <w:szCs w:val="20"/>
        </w:rPr>
      </w:pPr>
      <w:r w:rsidRPr="00D203B3">
        <w:rPr>
          <w:rFonts w:ascii="Calibri" w:eastAsia="Times New Roman" w:hAnsi="Calibri" w:cs="Calibri"/>
          <w:color w:val="000000"/>
          <w:sz w:val="20"/>
          <w:szCs w:val="20"/>
          <w:vertAlign w:val="superscript"/>
        </w:rPr>
        <w:t>‡</w:t>
      </w:r>
      <w:r w:rsidRPr="00D203B3">
        <w:rPr>
          <w:bCs/>
          <w:sz w:val="20"/>
          <w:szCs w:val="20"/>
          <w:vertAlign w:val="superscript"/>
        </w:rPr>
        <w:t xml:space="preserve"> </w:t>
      </w:r>
      <w:r w:rsidRPr="00D203B3">
        <w:rPr>
          <w:bCs/>
          <w:sz w:val="20"/>
          <w:szCs w:val="20"/>
        </w:rPr>
        <w:t xml:space="preserve">Diabetes was defined as having either fasting glucose of ≥ 126 mg/dL, HbA1c ≥ 6.5%, or use of diabetic medication within two weeks prior to the clinic visit. </w:t>
      </w:r>
    </w:p>
    <w:p w:rsidR="003B7757" w:rsidRPr="00D203B3" w:rsidRDefault="003B7757" w:rsidP="003B7757">
      <w:pPr>
        <w:rPr>
          <w:sz w:val="20"/>
          <w:szCs w:val="20"/>
        </w:rPr>
      </w:pPr>
      <w:proofErr w:type="gramStart"/>
      <w:r w:rsidRPr="00D203B3">
        <w:rPr>
          <w:rFonts w:ascii="Calibri" w:eastAsia="Times New Roman" w:hAnsi="Calibri" w:cs="Calibri"/>
          <w:color w:val="000000"/>
          <w:sz w:val="20"/>
          <w:szCs w:val="20"/>
          <w:vertAlign w:val="superscript"/>
        </w:rPr>
        <w:t>§</w:t>
      </w:r>
      <w:r w:rsidRPr="00D203B3">
        <w:rPr>
          <w:bCs/>
          <w:sz w:val="20"/>
          <w:szCs w:val="20"/>
          <w:vertAlign w:val="superscript"/>
        </w:rPr>
        <w:t xml:space="preserve">  </w:t>
      </w:r>
      <w:r w:rsidRPr="00D203B3">
        <w:rPr>
          <w:bCs/>
          <w:sz w:val="20"/>
          <w:szCs w:val="20"/>
        </w:rPr>
        <w:t>eGFR</w:t>
      </w:r>
      <w:proofErr w:type="gramEnd"/>
      <w:r w:rsidRPr="00D203B3">
        <w:rPr>
          <w:bCs/>
          <w:sz w:val="20"/>
          <w:szCs w:val="20"/>
        </w:rPr>
        <w:t xml:space="preserve"> was assessed using the 4-variable CKD-EPI.</w:t>
      </w:r>
    </w:p>
    <w:p w:rsidR="003B7757" w:rsidRPr="00D203B3" w:rsidRDefault="003B7757" w:rsidP="003B7757">
      <w:pPr>
        <w:rPr>
          <w:sz w:val="20"/>
          <w:szCs w:val="20"/>
        </w:rPr>
      </w:pPr>
      <w:r w:rsidRPr="00D203B3">
        <w:rPr>
          <w:rFonts w:ascii="Calibri" w:eastAsia="Times New Roman" w:hAnsi="Calibri" w:cs="Calibri"/>
          <w:color w:val="000000"/>
          <w:sz w:val="20"/>
          <w:szCs w:val="20"/>
          <w:vertAlign w:val="superscript"/>
        </w:rPr>
        <w:t>||</w:t>
      </w:r>
      <w:r w:rsidRPr="00D203B3">
        <w:rPr>
          <w:sz w:val="20"/>
          <w:szCs w:val="20"/>
          <w:vertAlign w:val="superscript"/>
        </w:rPr>
        <w:t xml:space="preserve"> </w:t>
      </w:r>
      <w:r w:rsidRPr="00D203B3">
        <w:rPr>
          <w:sz w:val="20"/>
          <w:szCs w:val="20"/>
        </w:rPr>
        <w:t xml:space="preserve">Life’s Simple 7 total score is a composite score describing cardiovascular health ranging from 0 to 14 that sums American Heart Association’s description of poor (0), intermediate (1), or ideal (2) health scores for smoking, diet, physical activity level, BMI, blood pressure, total cholesterol, and fasting plasma glucose. </w:t>
      </w:r>
    </w:p>
    <w:p w:rsidR="008714BA" w:rsidRDefault="003B7757">
      <w:r w:rsidRPr="00D203B3">
        <w:rPr>
          <w:sz w:val="20"/>
          <w:szCs w:val="20"/>
        </w:rPr>
        <w:t xml:space="preserve">Abbreviations: BMI, body mass index; CKD-EPI, </w:t>
      </w:r>
      <w:r w:rsidRPr="00D203B3">
        <w:rPr>
          <w:bCs/>
          <w:sz w:val="20"/>
          <w:szCs w:val="20"/>
        </w:rPr>
        <w:t>Chronic Kidney Disease-Epidemiology</w:t>
      </w:r>
      <w:r w:rsidRPr="00D203B3">
        <w:rPr>
          <w:sz w:val="20"/>
          <w:szCs w:val="20"/>
        </w:rPr>
        <w:t xml:space="preserve">; eGFR, estimated glomerular filtration rate; GED, general educational development; HRT, hormone replacement therapy; HbA1c, hemoglobin A1c. </w:t>
      </w:r>
      <w:bookmarkStart w:id="1" w:name="_GoBack"/>
      <w:bookmarkEnd w:id="1"/>
    </w:p>
    <w:sectPr w:rsidR="0087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57"/>
    <w:rsid w:val="003B7757"/>
    <w:rsid w:val="00A37221"/>
    <w:rsid w:val="00E2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44DF"/>
  <w15:chartTrackingRefBased/>
  <w15:docId w15:val="{6CC98265-7FDD-4B22-ABC0-E7AE64C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7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Company>Johns Hopkins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Rebholz</dc:creator>
  <cp:keywords/>
  <dc:description/>
  <cp:lastModifiedBy>Casey Rebholz</cp:lastModifiedBy>
  <cp:revision>1</cp:revision>
  <dcterms:created xsi:type="dcterms:W3CDTF">2021-11-10T17:02:00Z</dcterms:created>
  <dcterms:modified xsi:type="dcterms:W3CDTF">2021-11-10T17:02:00Z</dcterms:modified>
</cp:coreProperties>
</file>