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2A8E" w14:textId="002B3463" w:rsidR="00B14145" w:rsidRDefault="00C50BA2" w:rsidP="00B14145">
      <w:pPr>
        <w:pStyle w:val="Heading1"/>
        <w:spacing w:line="480" w:lineRule="auto"/>
        <w:rPr>
          <w:lang w:val="en-GB"/>
        </w:rPr>
      </w:pPr>
      <w:r>
        <w:rPr>
          <w:lang w:val="en-GB"/>
        </w:rPr>
        <w:t>S5</w:t>
      </w:r>
      <w:r w:rsidR="00B14145">
        <w:rPr>
          <w:lang w:val="en-GB"/>
        </w:rPr>
        <w:t xml:space="preserve"> </w:t>
      </w:r>
      <w:r>
        <w:rPr>
          <w:lang w:val="en-GB"/>
        </w:rPr>
        <w:t xml:space="preserve">Table </w:t>
      </w:r>
      <w:bookmarkStart w:id="0" w:name="_GoBack"/>
      <w:bookmarkEnd w:id="0"/>
      <w:r w:rsidR="00B14145">
        <w:rPr>
          <w:lang w:val="en-GB"/>
        </w:rPr>
        <w:t>Sensitivity analyses</w:t>
      </w:r>
    </w:p>
    <w:tbl>
      <w:tblPr>
        <w:tblW w:w="4826" w:type="pct"/>
        <w:tblLook w:val="04A0" w:firstRow="1" w:lastRow="0" w:firstColumn="1" w:lastColumn="0" w:noHBand="0" w:noVBand="1"/>
      </w:tblPr>
      <w:tblGrid>
        <w:gridCol w:w="6780"/>
        <w:gridCol w:w="988"/>
        <w:gridCol w:w="1155"/>
        <w:gridCol w:w="805"/>
        <w:gridCol w:w="1120"/>
        <w:gridCol w:w="932"/>
        <w:gridCol w:w="1683"/>
      </w:tblGrid>
      <w:tr w:rsidR="00B14145" w:rsidRPr="001A4166" w14:paraId="21B8086F" w14:textId="77777777" w:rsidTr="00AA3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6464B00" w14:textId="77777777" w:rsidR="00B14145" w:rsidRPr="007F478F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</w:pP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Analysis of primary outcome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,</w:t>
            </w: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 xml:space="preserve"> n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umber</w:t>
            </w: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 xml:space="preserve"> of medicines at follow up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,</w:t>
            </w: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 xml:space="preserve"> using mixed Poisson regression</w:t>
            </w:r>
          </w:p>
        </w:tc>
      </w:tr>
      <w:tr w:rsidR="00B14145" w:rsidRPr="001A4166" w14:paraId="4C0E35FD" w14:textId="77777777" w:rsidTr="00AA337A">
        <w:trPr>
          <w:trHeight w:val="283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283E1A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Description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E332A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Included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1A136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Excluded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66D96A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AF9B8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IRR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EEC36A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p value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CBA1E3" w14:textId="77777777" w:rsidR="00B14145" w:rsidRPr="00045550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95% CI</w:t>
            </w:r>
          </w:p>
        </w:tc>
      </w:tr>
      <w:tr w:rsidR="00B14145" w:rsidRPr="001A4166" w14:paraId="2B82F950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1169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ITT (all participants)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D59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EF2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59D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9CCF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5F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591A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0.89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–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0.99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B14145" w:rsidRPr="001A4166" w14:paraId="0658D6FE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34BF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CCA (all participants with follow up data)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768D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E008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607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4244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0.94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1BC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322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0.883 – 0.999</w:t>
            </w:r>
          </w:p>
        </w:tc>
      </w:tr>
      <w:tr w:rsidR="00B14145" w:rsidRPr="001A4166" w14:paraId="3FF0AD3A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7311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PPA (only participants who had intervention and have follow up data)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0DC5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1A0D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5C9D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982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A18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0.115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95B8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0.943 – 1.006</w:t>
            </w:r>
          </w:p>
        </w:tc>
      </w:tr>
      <w:tr w:rsidR="00B14145" w:rsidRPr="001A4166" w14:paraId="0DC2F144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6DCE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ITT 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including number of days to follow up as covariate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223F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9D6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91EA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ABA2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0F70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0E43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0.902 – 1.008</w:t>
            </w:r>
          </w:p>
        </w:tc>
      </w:tr>
      <w:tr w:rsidR="00B14145" w:rsidRPr="001A4166" w14:paraId="51901969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77C7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ITT including presence of a repeat prescribing policy as a covariate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B800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C65F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F35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3FB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845B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8355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0.902 – 1.008</w:t>
            </w:r>
          </w:p>
        </w:tc>
      </w:tr>
      <w:tr w:rsidR="00B14145" w:rsidRPr="001A4166" w14:paraId="42EB81EE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091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6726">
              <w:rPr>
                <w:rFonts w:ascii="Calibri" w:eastAsia="Times New Roman" w:hAnsi="Calibri" w:cs="Calibri"/>
                <w:color w:val="000000"/>
                <w:lang w:eastAsia="en-IE"/>
              </w:rPr>
              <w:t>Sensitivity analysis excluding GP116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(median number of medicines  &lt;</w:t>
            </w:r>
            <w:r w:rsidRPr="00366726">
              <w:rPr>
                <w:rFonts w:ascii="Calibri" w:eastAsia="Times New Roman" w:hAnsi="Calibri" w:cs="Calibri"/>
                <w:color w:val="000000"/>
                <w:lang w:eastAsia="en-IE"/>
              </w:rPr>
              <w:t>14)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2756D2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c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31F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F93E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ACEC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94B3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955B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A75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 xml:space="preserve">0.893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0.999</w:t>
            </w:r>
          </w:p>
        </w:tc>
      </w:tr>
      <w:tr w:rsidR="00B14145" w:rsidRPr="001A4166" w14:paraId="21AE0BC6" w14:textId="77777777" w:rsidTr="00AA337A">
        <w:trPr>
          <w:trHeight w:val="5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72AF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PPA (only participants who had intervention and have follow up data and excluding 3 control practices with a reduction in mean no meds&gt;3)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2756D2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7AA4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C1F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925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72B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37A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1C7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0.936 – 0.990</w:t>
            </w:r>
          </w:p>
        </w:tc>
      </w:tr>
      <w:tr w:rsidR="00B14145" w:rsidRPr="001A4166" w14:paraId="60E3CA8A" w14:textId="77777777" w:rsidTr="00AA337A">
        <w:trPr>
          <w:trHeight w:val="5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7F27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COVID follow up (including whether participant was followed up after March 2020 as a covariate) </w:t>
            </w:r>
            <w:r w:rsidRPr="004C079B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B4EF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36C1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3C65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9D9A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C52F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7B4C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0.895 – 0.999</w:t>
            </w:r>
          </w:p>
          <w:p w14:paraId="110DFE5C" w14:textId="77777777" w:rsidR="00B14145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B14145" w:rsidRPr="001A4166" w14:paraId="6734924E" w14:textId="77777777" w:rsidTr="00AA337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DDF60A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Analysis of primary outcome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,</w:t>
            </w: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patients with at least one PIP, using</w:t>
            </w: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>logistic</w:t>
            </w:r>
            <w:r w:rsidRPr="007F478F">
              <w:rPr>
                <w:rFonts w:ascii="Calibri" w:eastAsia="Times New Roman" w:hAnsi="Calibri" w:cs="Calibri"/>
                <w:b/>
                <w:i/>
                <w:iCs/>
                <w:color w:val="FFFFFF"/>
                <w:lang w:eastAsia="en-IE"/>
              </w:rPr>
              <w:t xml:space="preserve"> regression</w:t>
            </w:r>
          </w:p>
        </w:tc>
      </w:tr>
      <w:tr w:rsidR="00B14145" w:rsidRPr="001A4166" w14:paraId="0D1403CD" w14:textId="77777777" w:rsidTr="00AA337A">
        <w:trPr>
          <w:trHeight w:val="283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DDAEC6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Description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86C61B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Included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6AF465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Excluded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2E807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030A6E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OR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B3F673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p value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028779" w14:textId="77777777" w:rsidR="00B14145" w:rsidRPr="00045550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95% CI</w:t>
            </w:r>
          </w:p>
        </w:tc>
      </w:tr>
      <w:tr w:rsidR="00B14145" w:rsidRPr="001A4166" w14:paraId="4FC742CF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96F4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ITT (all participants)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F36C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357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487C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9B9B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0.39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6BFE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B3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06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B14145" w:rsidRPr="001A4166" w14:paraId="39579271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D358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CCA (all participants with follow up data)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B02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367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E80A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797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75B0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0.39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C843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9EAF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06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B14145" w:rsidRPr="001A4166" w14:paraId="70947AD6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BDFB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PPA (only participants who had intervention and have follow up data)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4A94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E7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16E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C8A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714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0.115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9CFE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0.943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–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1.006</w:t>
            </w:r>
          </w:p>
        </w:tc>
      </w:tr>
      <w:tr w:rsidR="00B14145" w:rsidRPr="001A4166" w14:paraId="1F4D6690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5749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ITT including number of days to follow up as covariate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4298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881B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20D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B851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B799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169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0.169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1.358</w:t>
            </w:r>
          </w:p>
        </w:tc>
      </w:tr>
      <w:tr w:rsidR="00B14145" w:rsidRPr="001A4166" w14:paraId="42BA4E38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75B4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ITT 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including presence of a repeat prescribing policy as a covariate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80F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FE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EED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01CF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0.37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0F28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0.048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4AC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0.135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0.991</w:t>
            </w:r>
          </w:p>
        </w:tc>
      </w:tr>
      <w:tr w:rsidR="00B14145" w:rsidRPr="001A4166" w14:paraId="2034AD1C" w14:textId="77777777" w:rsidTr="00AA337A">
        <w:trPr>
          <w:trHeight w:val="289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8E58" w14:textId="77777777" w:rsidR="00B14145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66726">
              <w:rPr>
                <w:rFonts w:ascii="Calibri" w:eastAsia="Times New Roman" w:hAnsi="Calibri" w:cs="Calibri"/>
                <w:color w:val="000000"/>
                <w:lang w:eastAsia="en-IE"/>
              </w:rPr>
              <w:t>Sensitivity analysis excluding GP116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(median number of medicines  &lt;</w:t>
            </w:r>
            <w:r w:rsidRPr="00366726">
              <w:rPr>
                <w:rFonts w:ascii="Calibri" w:eastAsia="Times New Roman" w:hAnsi="Calibri" w:cs="Calibri"/>
                <w:color w:val="000000"/>
                <w:lang w:eastAsia="en-IE"/>
              </w:rPr>
              <w:t>14)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2756D2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6AD6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387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554F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7717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7A75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B0D2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4BB8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0.133 –  1.079</w:t>
            </w:r>
          </w:p>
        </w:tc>
      </w:tr>
      <w:tr w:rsidR="00B14145" w:rsidRPr="001A4166" w14:paraId="4FC273A4" w14:textId="77777777" w:rsidTr="00AA337A">
        <w:trPr>
          <w:trHeight w:val="5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7CB" w14:textId="77777777" w:rsidR="00B14145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>PPA (only participants who had intervention and have follow up data and excluding 3 control pract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ices with a reduction in mean number</w:t>
            </w:r>
            <w:r w:rsidRPr="001A416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meds&gt;3)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2756D2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6833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41E0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D94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613D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3F45" w14:textId="77777777" w:rsidR="00B14145" w:rsidRPr="001A4166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94D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0.378 – 1.038</w:t>
            </w:r>
          </w:p>
        </w:tc>
      </w:tr>
      <w:tr w:rsidR="00B14145" w:rsidRPr="001A4166" w14:paraId="41155D4F" w14:textId="77777777" w:rsidTr="00AA337A">
        <w:trPr>
          <w:trHeight w:val="5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3E28" w14:textId="77777777" w:rsidR="00B14145" w:rsidRPr="001A4166" w:rsidRDefault="00B14145" w:rsidP="00AA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COVID follow up (including whether participant was followed up after March 2020 as a covariate) </w:t>
            </w:r>
            <w:r w:rsidRPr="00A26C4A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6DBC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9AC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940E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9C06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8232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A749" w14:textId="77777777" w:rsidR="00B14145" w:rsidRDefault="00B14145" w:rsidP="00AA33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0.139 – 1.008</w:t>
            </w:r>
          </w:p>
        </w:tc>
      </w:tr>
    </w:tbl>
    <w:p w14:paraId="6BA9659B" w14:textId="77777777" w:rsidR="00B14145" w:rsidRDefault="00B14145" w:rsidP="00B14145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Abbreviations: MCS; mean cluster size, IRR; incidence rate ration, CI; confidence interval, ITT; intention to treat, CCA; complete case analysis, PPA; per protocol analysis, OR; odds ratio</w:t>
      </w:r>
    </w:p>
    <w:p w14:paraId="5CABD734" w14:textId="77777777" w:rsidR="00B14145" w:rsidRDefault="00B14145" w:rsidP="00B14145">
      <w:pPr>
        <w:spacing w:after="0" w:line="240" w:lineRule="auto"/>
        <w:rPr>
          <w:i/>
          <w:lang w:val="en-GB"/>
        </w:rPr>
      </w:pPr>
    </w:p>
    <w:p w14:paraId="476BD54F" w14:textId="77777777" w:rsidR="00B14145" w:rsidRPr="002756D2" w:rsidRDefault="00B14145" w:rsidP="00B14145">
      <w:pPr>
        <w:spacing w:after="0" w:line="240" w:lineRule="auto"/>
        <w:rPr>
          <w:lang w:val="en-GB"/>
        </w:rPr>
      </w:pPr>
      <w:r w:rsidRPr="002756D2">
        <w:rPr>
          <w:vertAlign w:val="superscript"/>
          <w:lang w:val="en-GB"/>
        </w:rPr>
        <w:lastRenderedPageBreak/>
        <w:t>a</w:t>
      </w:r>
      <w:r w:rsidRPr="002756D2">
        <w:rPr>
          <w:lang w:val="en-GB"/>
        </w:rPr>
        <w:t xml:space="preserve"> Pre-planned sensitivity analysis</w:t>
      </w:r>
      <w:r w:rsidRPr="002756D2">
        <w:rPr>
          <w:vertAlign w:val="superscript"/>
          <w:lang w:val="en-GB"/>
        </w:rPr>
        <w:t xml:space="preserve"> </w:t>
      </w:r>
    </w:p>
    <w:p w14:paraId="0EE3155D" w14:textId="77777777" w:rsidR="00B14145" w:rsidRPr="002756D2" w:rsidRDefault="00B14145" w:rsidP="00B14145">
      <w:pPr>
        <w:spacing w:after="0" w:line="240" w:lineRule="auto"/>
        <w:rPr>
          <w:lang w:val="en-GB"/>
        </w:rPr>
      </w:pPr>
      <w:r w:rsidRPr="002756D2">
        <w:rPr>
          <w:vertAlign w:val="superscript"/>
          <w:lang w:val="en-GB"/>
        </w:rPr>
        <w:t>b</w:t>
      </w:r>
      <w:r w:rsidRPr="002756D2">
        <w:rPr>
          <w:lang w:val="en-GB"/>
        </w:rPr>
        <w:t xml:space="preserve"> Un-planned </w:t>
      </w:r>
      <w:r>
        <w:rPr>
          <w:lang w:val="en-GB"/>
        </w:rPr>
        <w:t xml:space="preserve">sensitivity </w:t>
      </w:r>
      <w:r w:rsidRPr="002756D2">
        <w:rPr>
          <w:lang w:val="en-GB"/>
        </w:rPr>
        <w:t>analysis due to identified discrepancy in the median number of d</w:t>
      </w:r>
      <w:r>
        <w:rPr>
          <w:lang w:val="en-GB"/>
        </w:rPr>
        <w:t>ays to follow up between groups. Due to the process of sequential allocation with minimization, intervention and control practices were not paired in a 1:1 fashion. Delays in intervention implementation in some intervention practices led a chance imbalance in the number of days to follow up between groups.</w:t>
      </w:r>
    </w:p>
    <w:p w14:paraId="38B74636" w14:textId="77777777" w:rsidR="00B14145" w:rsidRPr="002756D2" w:rsidRDefault="00B14145" w:rsidP="00B14145">
      <w:pPr>
        <w:spacing w:after="0" w:line="240" w:lineRule="auto"/>
        <w:rPr>
          <w:lang w:val="en-GB"/>
        </w:rPr>
      </w:pPr>
      <w:r w:rsidRPr="002756D2">
        <w:rPr>
          <w:vertAlign w:val="superscript"/>
          <w:lang w:val="en-GB"/>
        </w:rPr>
        <w:t>c</w:t>
      </w:r>
      <w:r w:rsidRPr="002756D2">
        <w:rPr>
          <w:lang w:val="en-GB"/>
        </w:rPr>
        <w:t xml:space="preserve"> Un-planned </w:t>
      </w:r>
      <w:r>
        <w:rPr>
          <w:lang w:val="en-GB"/>
        </w:rPr>
        <w:t>sensitivity</w:t>
      </w:r>
      <w:r w:rsidRPr="002756D2">
        <w:rPr>
          <w:lang w:val="en-GB"/>
        </w:rPr>
        <w:t xml:space="preserve"> analysis as this practice</w:t>
      </w:r>
      <w:r>
        <w:rPr>
          <w:lang w:val="en-GB"/>
        </w:rPr>
        <w:t xml:space="preserve"> was</w:t>
      </w:r>
      <w:r w:rsidRPr="002756D2">
        <w:rPr>
          <w:lang w:val="en-GB"/>
        </w:rPr>
        <w:t xml:space="preserve"> noted to recruit</w:t>
      </w:r>
      <w:r>
        <w:rPr>
          <w:lang w:val="en-GB"/>
        </w:rPr>
        <w:t xml:space="preserve"> several</w:t>
      </w:r>
      <w:r w:rsidRPr="002756D2">
        <w:rPr>
          <w:lang w:val="en-GB"/>
        </w:rPr>
        <w:t xml:space="preserve"> participants prescribed &lt;15medicines once baseline data was complete</w:t>
      </w:r>
    </w:p>
    <w:p w14:paraId="6A0D4CA6" w14:textId="77777777" w:rsidR="00B14145" w:rsidRDefault="00B14145" w:rsidP="00B14145">
      <w:pPr>
        <w:spacing w:after="0" w:line="240" w:lineRule="auto"/>
        <w:rPr>
          <w:lang w:val="en-GB"/>
        </w:rPr>
      </w:pPr>
      <w:r w:rsidRPr="002756D2">
        <w:rPr>
          <w:vertAlign w:val="superscript"/>
          <w:lang w:val="en-GB"/>
        </w:rPr>
        <w:t>d</w:t>
      </w:r>
      <w:r w:rsidRPr="002756D2">
        <w:rPr>
          <w:lang w:val="en-GB"/>
        </w:rPr>
        <w:t xml:space="preserve"> Un-planned sensitivity analysis, three control practices identified that had a very large reduction in the number of medicines per participant</w:t>
      </w:r>
    </w:p>
    <w:p w14:paraId="1B425DA4" w14:textId="77777777" w:rsidR="00B14145" w:rsidRDefault="00B14145" w:rsidP="00B14145">
      <w:pPr>
        <w:spacing w:after="0" w:line="240" w:lineRule="auto"/>
        <w:rPr>
          <w:lang w:val="en-GB"/>
        </w:rPr>
      </w:pPr>
      <w:r w:rsidRPr="004C079B">
        <w:rPr>
          <w:vertAlign w:val="superscript"/>
          <w:lang w:val="en-GB"/>
        </w:rPr>
        <w:t>e</w:t>
      </w:r>
      <w:r>
        <w:rPr>
          <w:vertAlign w:val="superscript"/>
          <w:lang w:val="en-GB"/>
        </w:rPr>
        <w:t xml:space="preserve"> </w:t>
      </w:r>
      <w:r w:rsidRPr="002756D2">
        <w:rPr>
          <w:lang w:val="en-GB"/>
        </w:rPr>
        <w:t xml:space="preserve">Un-planned </w:t>
      </w:r>
      <w:r>
        <w:rPr>
          <w:lang w:val="en-GB"/>
        </w:rPr>
        <w:t xml:space="preserve">sensitivity </w:t>
      </w:r>
      <w:r w:rsidRPr="002756D2">
        <w:rPr>
          <w:lang w:val="en-GB"/>
        </w:rPr>
        <w:t>analysis</w:t>
      </w:r>
      <w:r>
        <w:rPr>
          <w:lang w:val="en-GB"/>
        </w:rPr>
        <w:t xml:space="preserve"> to assess the effect of COVID 19 on primary outcomes</w:t>
      </w:r>
    </w:p>
    <w:p w14:paraId="5C0F0E2E" w14:textId="77777777" w:rsidR="00B14145" w:rsidRPr="00EC2FEA" w:rsidRDefault="00B14145" w:rsidP="00B14145">
      <w:pPr>
        <w:spacing w:line="259" w:lineRule="auto"/>
        <w:rPr>
          <w:lang w:val="en-GB"/>
        </w:rPr>
      </w:pPr>
    </w:p>
    <w:p w14:paraId="489FDDFE" w14:textId="77777777" w:rsidR="008D6E2F" w:rsidRPr="00B14145" w:rsidRDefault="008D6E2F" w:rsidP="00B14145"/>
    <w:sectPr w:rsidR="008D6E2F" w:rsidRPr="00B14145" w:rsidSect="00C3176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22C8" w14:textId="77777777" w:rsidR="00B14145" w:rsidRDefault="00B14145" w:rsidP="00B14145">
      <w:pPr>
        <w:spacing w:after="0" w:line="240" w:lineRule="auto"/>
      </w:pPr>
      <w:r>
        <w:separator/>
      </w:r>
    </w:p>
  </w:endnote>
  <w:endnote w:type="continuationSeparator" w:id="0">
    <w:p w14:paraId="4B6BB488" w14:textId="77777777" w:rsidR="00B14145" w:rsidRDefault="00B14145" w:rsidP="00B1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4B73" w14:textId="77777777" w:rsidR="00B14145" w:rsidRDefault="00B14145" w:rsidP="00B14145">
      <w:pPr>
        <w:spacing w:after="0" w:line="240" w:lineRule="auto"/>
      </w:pPr>
      <w:r>
        <w:separator/>
      </w:r>
    </w:p>
  </w:footnote>
  <w:footnote w:type="continuationSeparator" w:id="0">
    <w:p w14:paraId="28A6603E" w14:textId="77777777" w:rsidR="00B14145" w:rsidRDefault="00B14145" w:rsidP="00B1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45"/>
    <w:rsid w:val="008B2B39"/>
    <w:rsid w:val="008D6E2F"/>
    <w:rsid w:val="00B14145"/>
    <w:rsid w:val="00C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9F93C"/>
  <w15:chartTrackingRefBased/>
  <w15:docId w15:val="{EFA9821D-1DDA-4210-8D85-D4CAE2A0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45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45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7" ma:contentTypeDescription="Create a new document." ma:contentTypeScope="" ma:versionID="6c3365492c0bb7beac6625d055a13fac">
  <xsd:schema xmlns:xsd="http://www.w3.org/2001/XMLSchema" xmlns:xs="http://www.w3.org/2001/XMLSchema" xmlns:p="http://schemas.microsoft.com/office/2006/metadata/properties" xmlns:ns3="005beb58-9085-4c7b-8e34-0af5c8b9efb8" xmlns:ns4="27c8a5dd-1c54-44f8-b110-3ed7bd052aa1" targetNamespace="http://schemas.microsoft.com/office/2006/metadata/properties" ma:root="true" ma:fieldsID="7d3b8db597ede6b812a5f35cf0d0133f" ns3:_="" ns4:_="">
    <xsd:import namespace="005beb58-9085-4c7b-8e34-0af5c8b9efb8"/>
    <xsd:import namespace="27c8a5dd-1c54-44f8-b110-3ed7bd052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86A55-1833-4B25-9DDF-351555E2C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eb58-9085-4c7b-8e34-0af5c8b9efb8"/>
    <ds:schemaRef ds:uri="27c8a5dd-1c54-44f8-b110-3ed7bd05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174D8-FD2D-4332-A8EB-25AB75FE4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F6ACC-7ED0-4B64-9697-F89FB795391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005beb58-9085-4c7b-8e34-0af5c8b9efb8"/>
    <ds:schemaRef ds:uri="http://purl.org/dc/dcmitype/"/>
    <ds:schemaRef ds:uri="http://purl.org/dc/elements/1.1/"/>
    <ds:schemaRef ds:uri="http://schemas.microsoft.com/office/2006/documentManagement/types"/>
    <ds:schemaRef ds:uri="27c8a5dd-1c54-44f8-b110-3ed7bd052aa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McCarthy</dc:creator>
  <cp:keywords/>
  <dc:description/>
  <cp:lastModifiedBy>Caroline McCarthy</cp:lastModifiedBy>
  <cp:revision>3</cp:revision>
  <dcterms:created xsi:type="dcterms:W3CDTF">2021-11-09T22:55:00Z</dcterms:created>
  <dcterms:modified xsi:type="dcterms:W3CDTF">2021-11-09T23:53:00Z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