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0A" w:rsidRDefault="000E570A" w:rsidP="000E570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S1 Fig</w:t>
      </w:r>
      <w:r>
        <w:rPr>
          <w:rFonts w:ascii="Arial" w:hAnsi="Arial" w:cs="Arial" w:hint="eastAsia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0BF7">
        <w:rPr>
          <w:rFonts w:ascii="Arial" w:hAnsi="Arial" w:cs="Arial"/>
          <w:sz w:val="24"/>
          <w:szCs w:val="24"/>
        </w:rPr>
        <w:t>Hazard ratios with 95% confidence intervals for ischemic stroke, heart failure, and all-cause death according to the change of exercise status calculated from the various multivariable-adjusted Cox proporti</w:t>
      </w:r>
      <w:bookmarkStart w:id="0" w:name="_GoBack"/>
      <w:bookmarkEnd w:id="0"/>
      <w:r w:rsidRPr="00B20BF7">
        <w:rPr>
          <w:rFonts w:ascii="Arial" w:hAnsi="Arial" w:cs="Arial"/>
          <w:sz w:val="24"/>
          <w:szCs w:val="24"/>
        </w:rPr>
        <w:t>onal hazard models.</w:t>
      </w:r>
    </w:p>
    <w:p w:rsidR="000E570A" w:rsidRDefault="000E570A" w:rsidP="000E57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1786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3227F09" wp14:editId="3D706AB7">
            <wp:extent cx="6645910" cy="7318633"/>
            <wp:effectExtent l="0" t="0" r="2540" b="0"/>
            <wp:docPr id="1" name="그림 1" descr="C:\Users\SNUH\Dropbox\01 논문\Exercise\Revision_0318 ☆\eFig1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UH\Dropbox\01 논문\Exercise\Revision_0318 ☆\eFig1_04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0A" w:rsidRPr="00B3522D" w:rsidRDefault="000E570A" w:rsidP="000E570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E570A" w:rsidRPr="00A27CD3" w:rsidRDefault="000E570A" w:rsidP="000E570A">
      <w:pPr>
        <w:spacing w:after="0" w:line="276" w:lineRule="auto"/>
        <w:rPr>
          <w:rFonts w:ascii="Arial" w:hAnsi="Arial" w:cs="Arial"/>
          <w:sz w:val="22"/>
          <w:szCs w:val="20"/>
        </w:rPr>
      </w:pPr>
      <w:r w:rsidRPr="00A27CD3">
        <w:rPr>
          <w:rFonts w:ascii="Arial" w:hAnsi="Arial" w:cs="Arial"/>
          <w:sz w:val="22"/>
          <w:szCs w:val="20"/>
        </w:rPr>
        <w:t>Abbreviation: CI, confidence interval.</w:t>
      </w:r>
    </w:p>
    <w:p w:rsidR="000E570A" w:rsidRPr="00A27CD3" w:rsidRDefault="000E570A" w:rsidP="000E570A">
      <w:pPr>
        <w:spacing w:after="0" w:line="276" w:lineRule="auto"/>
        <w:rPr>
          <w:rFonts w:ascii="Arial" w:hAnsi="Arial" w:cs="Arial"/>
          <w:sz w:val="22"/>
          <w:szCs w:val="20"/>
        </w:rPr>
      </w:pPr>
      <w:r w:rsidRPr="00A27CD3">
        <w:rPr>
          <w:rFonts w:ascii="Arial" w:hAnsi="Arial" w:cs="Arial"/>
          <w:sz w:val="22"/>
          <w:szCs w:val="20"/>
        </w:rPr>
        <w:t xml:space="preserve">Model 1 adjusted for age and sex. </w:t>
      </w:r>
    </w:p>
    <w:p w:rsidR="000E570A" w:rsidRPr="00A27CD3" w:rsidRDefault="000E570A" w:rsidP="000E570A">
      <w:pPr>
        <w:spacing w:after="0" w:line="276" w:lineRule="auto"/>
        <w:rPr>
          <w:rFonts w:ascii="Arial" w:hAnsi="Arial" w:cs="Arial"/>
          <w:sz w:val="22"/>
          <w:szCs w:val="20"/>
        </w:rPr>
      </w:pPr>
      <w:r w:rsidRPr="00A27CD3">
        <w:rPr>
          <w:rFonts w:ascii="Arial" w:hAnsi="Arial" w:cs="Arial"/>
          <w:sz w:val="22"/>
          <w:szCs w:val="20"/>
        </w:rPr>
        <w:t xml:space="preserve">Model 2 adjusted </w:t>
      </w:r>
      <w:r w:rsidRPr="00A27CD3">
        <w:rPr>
          <w:rFonts w:ascii="Arial" w:eastAsia="맑은 고딕" w:hAnsi="Arial" w:cs="Arial"/>
          <w:sz w:val="22"/>
          <w:szCs w:val="20"/>
        </w:rPr>
        <w:t>body mass index (BMI)</w:t>
      </w:r>
      <w:r w:rsidRPr="00A27CD3">
        <w:rPr>
          <w:rFonts w:ascii="Arial" w:hAnsi="Arial" w:cs="Arial"/>
          <w:sz w:val="22"/>
          <w:szCs w:val="20"/>
        </w:rPr>
        <w:t xml:space="preserve">, smoking, heavy drinking, and low income in addition to Model 1. </w:t>
      </w:r>
    </w:p>
    <w:p w:rsidR="000E570A" w:rsidRPr="00A27CD3" w:rsidRDefault="000E570A" w:rsidP="000E570A">
      <w:pPr>
        <w:spacing w:after="0" w:line="276" w:lineRule="auto"/>
        <w:rPr>
          <w:rFonts w:ascii="Arial" w:hAnsi="Arial" w:cs="Arial"/>
          <w:sz w:val="22"/>
          <w:szCs w:val="20"/>
        </w:rPr>
      </w:pPr>
      <w:r w:rsidRPr="00A27CD3">
        <w:rPr>
          <w:rFonts w:ascii="Arial" w:hAnsi="Arial" w:cs="Arial"/>
          <w:sz w:val="22"/>
          <w:szCs w:val="20"/>
        </w:rPr>
        <w:t xml:space="preserve">Model 3 adjusted diabetes mellitus, hypertension, dyslipidemia, and </w:t>
      </w:r>
      <w:r w:rsidRPr="00A27CD3">
        <w:rPr>
          <w:rFonts w:ascii="Arial" w:eastAsia="맑은 고딕" w:hAnsi="Arial" w:cs="Arial"/>
          <w:sz w:val="22"/>
          <w:szCs w:val="20"/>
        </w:rPr>
        <w:t>previous myocardial infarction (MI)</w:t>
      </w:r>
      <w:r w:rsidRPr="00A27CD3">
        <w:rPr>
          <w:rFonts w:ascii="Arial" w:hAnsi="Arial" w:cs="Arial"/>
          <w:sz w:val="22"/>
          <w:szCs w:val="20"/>
        </w:rPr>
        <w:t xml:space="preserve"> in addition to Model 2.</w:t>
      </w:r>
    </w:p>
    <w:p w:rsidR="000E570A" w:rsidRPr="00A27CD3" w:rsidRDefault="000E570A" w:rsidP="000E570A">
      <w:pPr>
        <w:spacing w:after="0" w:line="276" w:lineRule="auto"/>
        <w:rPr>
          <w:rFonts w:ascii="Arial" w:hAnsi="Arial" w:cs="Arial"/>
          <w:sz w:val="22"/>
          <w:szCs w:val="20"/>
        </w:rPr>
      </w:pPr>
      <w:r w:rsidRPr="00A27CD3">
        <w:rPr>
          <w:rFonts w:ascii="Arial" w:hAnsi="Arial" w:cs="Arial"/>
          <w:sz w:val="22"/>
          <w:szCs w:val="20"/>
        </w:rPr>
        <w:t xml:space="preserve">Model 4 adjusted </w:t>
      </w:r>
      <w:r w:rsidRPr="00A27CD3">
        <w:rPr>
          <w:rFonts w:ascii="Arial" w:eastAsia="맑은 고딕" w:hAnsi="Arial" w:cs="Arial"/>
          <w:sz w:val="22"/>
          <w:szCs w:val="20"/>
        </w:rPr>
        <w:t>peripheral artery disease (PAD), chronic obstructive pulmonary disease (COPD), cancer, and chronic kidney disease (CKD)</w:t>
      </w:r>
      <w:r w:rsidRPr="00A27CD3">
        <w:rPr>
          <w:rFonts w:ascii="Arial" w:hAnsi="Arial" w:cs="Arial"/>
          <w:sz w:val="22"/>
          <w:szCs w:val="20"/>
        </w:rPr>
        <w:t xml:space="preserve"> in addition to Model 3.</w:t>
      </w:r>
    </w:p>
    <w:p w:rsidR="000E570A" w:rsidRPr="00A27CD3" w:rsidRDefault="000E570A" w:rsidP="000E570A">
      <w:pPr>
        <w:spacing w:after="0" w:line="276" w:lineRule="auto"/>
        <w:rPr>
          <w:rFonts w:ascii="Arial" w:hAnsi="Arial" w:cs="Arial"/>
          <w:sz w:val="22"/>
          <w:szCs w:val="20"/>
        </w:rPr>
      </w:pPr>
      <w:r w:rsidRPr="00A27CD3">
        <w:rPr>
          <w:rFonts w:ascii="Arial" w:hAnsi="Arial" w:cs="Arial"/>
          <w:sz w:val="22"/>
          <w:szCs w:val="20"/>
        </w:rPr>
        <w:lastRenderedPageBreak/>
        <w:t>Model 5 adjusted CHA</w:t>
      </w:r>
      <w:r w:rsidRPr="00A27CD3">
        <w:rPr>
          <w:rFonts w:ascii="Arial" w:hAnsi="Arial" w:cs="Arial"/>
          <w:sz w:val="22"/>
          <w:szCs w:val="20"/>
          <w:vertAlign w:val="subscript"/>
        </w:rPr>
        <w:t>2</w:t>
      </w:r>
      <w:r w:rsidRPr="00A27CD3">
        <w:rPr>
          <w:rFonts w:ascii="Arial" w:hAnsi="Arial" w:cs="Arial"/>
          <w:sz w:val="22"/>
          <w:szCs w:val="20"/>
        </w:rPr>
        <w:t>DS</w:t>
      </w:r>
      <w:r w:rsidRPr="00A27CD3">
        <w:rPr>
          <w:rFonts w:ascii="Arial" w:hAnsi="Arial" w:cs="Arial"/>
          <w:sz w:val="22"/>
          <w:szCs w:val="20"/>
          <w:vertAlign w:val="subscript"/>
        </w:rPr>
        <w:t>2</w:t>
      </w:r>
      <w:r w:rsidRPr="00A27CD3">
        <w:rPr>
          <w:rFonts w:ascii="Arial" w:hAnsi="Arial" w:cs="Arial"/>
          <w:sz w:val="22"/>
          <w:szCs w:val="20"/>
        </w:rPr>
        <w:t>-VASc score in addition to Model 4.</w:t>
      </w:r>
    </w:p>
    <w:p w:rsidR="000E570A" w:rsidRPr="00A27CD3" w:rsidRDefault="000E570A" w:rsidP="000E570A">
      <w:pPr>
        <w:spacing w:after="0" w:line="276" w:lineRule="auto"/>
        <w:rPr>
          <w:rFonts w:ascii="Arial" w:hAnsi="Arial" w:cs="Arial"/>
          <w:sz w:val="22"/>
          <w:szCs w:val="20"/>
        </w:rPr>
      </w:pPr>
      <w:r w:rsidRPr="00A27CD3">
        <w:rPr>
          <w:rFonts w:ascii="Arial" w:hAnsi="Arial" w:cs="Arial"/>
          <w:sz w:val="22"/>
          <w:szCs w:val="20"/>
        </w:rPr>
        <w:t xml:space="preserve">Model 6 adjusted the </w:t>
      </w:r>
      <w:r w:rsidRPr="00A27CD3">
        <w:rPr>
          <w:rFonts w:ascii="Arial" w:eastAsia="맑은 고딕" w:hAnsi="Arial" w:cs="Arial"/>
          <w:sz w:val="22"/>
          <w:szCs w:val="20"/>
        </w:rPr>
        <w:t>use of oral anticoagulation (OAC)</w:t>
      </w:r>
      <w:r w:rsidRPr="00A27CD3">
        <w:rPr>
          <w:rFonts w:ascii="Arial" w:hAnsi="Arial" w:cs="Arial"/>
          <w:sz w:val="22"/>
          <w:szCs w:val="20"/>
        </w:rPr>
        <w:t xml:space="preserve">, use of antiplatelet agents in addition to Model 5. </w:t>
      </w:r>
    </w:p>
    <w:p w:rsidR="000E570A" w:rsidRPr="00A27CD3" w:rsidRDefault="000E570A" w:rsidP="000E570A">
      <w:pPr>
        <w:rPr>
          <w:rFonts w:ascii="Arial" w:hAnsi="Arial" w:cs="Arial"/>
          <w:sz w:val="22"/>
          <w:szCs w:val="20"/>
        </w:rPr>
      </w:pPr>
      <w:r w:rsidRPr="00A27CD3">
        <w:rPr>
          <w:rFonts w:ascii="Arial" w:hAnsi="Arial" w:cs="Arial"/>
          <w:i/>
          <w:sz w:val="22"/>
          <w:szCs w:val="20"/>
        </w:rPr>
        <w:t>P</w:t>
      </w:r>
      <w:r w:rsidRPr="00A27CD3">
        <w:rPr>
          <w:rFonts w:ascii="Arial" w:hAnsi="Arial" w:cs="Arial"/>
          <w:sz w:val="22"/>
          <w:szCs w:val="20"/>
        </w:rPr>
        <w:t xml:space="preserve"> values were evaluated by the likelihood ratio test. The dots denote hazard ratios, and the whiskers denote 95% confidence intervals computed by multivariable Cox proportional hazards models.</w:t>
      </w:r>
    </w:p>
    <w:p w:rsidR="000E570A" w:rsidRPr="00A27CD3" w:rsidRDefault="000E570A" w:rsidP="000E570A">
      <w:pPr>
        <w:rPr>
          <w:rFonts w:ascii="Arial" w:hAnsi="Arial" w:cs="Arial"/>
          <w:szCs w:val="20"/>
        </w:rPr>
      </w:pPr>
    </w:p>
    <w:p w:rsidR="005B5CB3" w:rsidRPr="000E570A" w:rsidRDefault="005B5CB3"/>
    <w:sectPr w:rsidR="005B5CB3" w:rsidRPr="000E570A" w:rsidSect="00E97063">
      <w:pgSz w:w="11906" w:h="16838"/>
      <w:pgMar w:top="720" w:right="720" w:bottom="720" w:left="720" w:header="850" w:footer="283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szQ0MjS3NLMwMDFQ0lEKTi0uzszPAykwrAUAZhlcaSwAAAA="/>
  </w:docVars>
  <w:rsids>
    <w:rsidRoot w:val="000E570A"/>
    <w:rsid w:val="000E570A"/>
    <w:rsid w:val="005B5CB3"/>
    <w:rsid w:val="00B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1F74-97B5-4286-BAA9-9953BFCD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0A"/>
    <w:pPr>
      <w:widowControl w:val="0"/>
      <w:wordWrap w:val="0"/>
      <w:autoSpaceDE w:val="0"/>
      <w:autoSpaceDN w:val="0"/>
      <w:spacing w:after="160" w:line="259" w:lineRule="auto"/>
      <w:ind w:lef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안효정 </dc:creator>
  <cp:keywords/>
  <dc:description/>
  <cp:lastModifiedBy>안효정 </cp:lastModifiedBy>
  <cp:revision>2</cp:revision>
  <dcterms:created xsi:type="dcterms:W3CDTF">2021-05-19T03:38:00Z</dcterms:created>
  <dcterms:modified xsi:type="dcterms:W3CDTF">2021-05-19T03:42:00Z</dcterms:modified>
</cp:coreProperties>
</file>