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752D8" w14:textId="77777777" w:rsidR="00921FEA" w:rsidRPr="0061657C" w:rsidRDefault="00921FEA" w:rsidP="00921FEA">
      <w:pPr>
        <w:spacing w:line="480" w:lineRule="auto"/>
        <w:jc w:val="both"/>
        <w:rPr>
          <w:b/>
          <w:bCs/>
        </w:rPr>
      </w:pPr>
      <w:r>
        <w:rPr>
          <w:b/>
          <w:bCs/>
        </w:rPr>
        <w:t>S2 Appendix</w:t>
      </w:r>
    </w:p>
    <w:p w14:paraId="2921F3B3" w14:textId="77777777" w:rsidR="00921FEA" w:rsidRDefault="00921FEA" w:rsidP="00921FEA">
      <w:pPr>
        <w:spacing w:line="480" w:lineRule="auto"/>
        <w:jc w:val="both"/>
        <w:rPr>
          <w:b/>
          <w:bCs/>
        </w:rPr>
      </w:pPr>
      <w:r>
        <w:rPr>
          <w:b/>
          <w:bCs/>
          <w:sz w:val="28"/>
          <w:szCs w:val="28"/>
        </w:rPr>
        <w:t>PRODOSE trial supplemental methods</w:t>
      </w:r>
    </w:p>
    <w:p w14:paraId="168EDB98" w14:textId="77777777" w:rsidR="00921FEA" w:rsidRDefault="00921FEA" w:rsidP="00921FEA">
      <w:pPr>
        <w:spacing w:line="480" w:lineRule="auto"/>
        <w:jc w:val="both"/>
        <w:rPr>
          <w:b/>
          <w:bCs/>
        </w:rPr>
      </w:pPr>
    </w:p>
    <w:p w14:paraId="018B073A" w14:textId="77777777" w:rsidR="00921FEA" w:rsidRPr="00AB0726" w:rsidRDefault="00921FEA" w:rsidP="00921FEA">
      <w:pPr>
        <w:spacing w:line="480" w:lineRule="auto"/>
        <w:jc w:val="both"/>
        <w:rPr>
          <w:b/>
          <w:bCs/>
        </w:rPr>
      </w:pPr>
      <w:r>
        <w:rPr>
          <w:b/>
          <w:bCs/>
        </w:rPr>
        <w:t>Response adaptive r</w:t>
      </w:r>
      <w:r w:rsidRPr="00AB0726">
        <w:rPr>
          <w:b/>
          <w:bCs/>
        </w:rPr>
        <w:t>andomisation ratio</w:t>
      </w:r>
    </w:p>
    <w:p w14:paraId="4DA0E79A" w14:textId="77777777" w:rsidR="00921FEA" w:rsidRPr="00AB0726" w:rsidRDefault="00921FEA" w:rsidP="00921FEA">
      <w:pPr>
        <w:spacing w:line="480" w:lineRule="auto"/>
        <w:jc w:val="both"/>
      </w:pPr>
      <w:r w:rsidRPr="00AB0726">
        <w:t>Randomisation ratio was adapted at the interim analysis according to the following principles</w:t>
      </w:r>
      <w:r>
        <w:t>:</w:t>
      </w:r>
    </w:p>
    <w:p w14:paraId="30E1ED3E" w14:textId="77777777" w:rsidR="00921FEA" w:rsidRPr="00AB0726" w:rsidRDefault="005E28D1" w:rsidP="00921FEA">
      <w:pPr>
        <w:pStyle w:val="MTDisplayEquation"/>
        <w:spacing w:line="480" w:lineRule="auto"/>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r>
            <w:rPr>
              <w:rFonts w:ascii="Cambria Math" w:hAnsi="Cambria Math"/>
              <w:sz w:val="24"/>
              <w:szCs w:val="24"/>
            </w:rPr>
            <m:t xml:space="preserve">   =</m:t>
          </m:r>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C</m:t>
                            </m:r>
                          </m:sub>
                        </m:sSub>
                        <m:rad>
                          <m:radPr>
                            <m:degHide m:val="1"/>
                            <m:ctrlPr>
                              <w:rPr>
                                <w:rFonts w:ascii="Cambria Math" w:hAnsi="Cambria Math"/>
                                <w:i/>
                                <w:sz w:val="24"/>
                                <w:szCs w:val="24"/>
                              </w:rPr>
                            </m:ctrlPr>
                          </m:radPr>
                          <m:deg/>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E</m:t>
                                </m:r>
                              </m:sub>
                            </m:sSub>
                          </m:e>
                        </m:rad>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C</m:t>
                            </m:r>
                          </m:sub>
                        </m:sSub>
                        <m:rad>
                          <m:radPr>
                            <m:degHide m:val="1"/>
                            <m:ctrlPr>
                              <w:rPr>
                                <w:rFonts w:ascii="Cambria Math" w:hAnsi="Cambria Math"/>
                                <w:i/>
                                <w:sz w:val="24"/>
                                <w:szCs w:val="24"/>
                              </w:rPr>
                            </m:ctrlPr>
                          </m:radPr>
                          <m:deg/>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E</m:t>
                                </m:r>
                              </m:sub>
                            </m:sSub>
                          </m:e>
                        </m:rad>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rad>
                          <m:radPr>
                            <m:degHide m:val="1"/>
                            <m:ctrlPr>
                              <w:rPr>
                                <w:rFonts w:ascii="Cambria Math" w:hAnsi="Cambria Math"/>
                                <w:i/>
                                <w:sz w:val="24"/>
                                <w:szCs w:val="24"/>
                              </w:rPr>
                            </m:ctrlPr>
                          </m:radPr>
                          <m:deg/>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e>
                        </m:rad>
                      </m:den>
                    </m:f>
                  </m:e>
                  <m:e>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r>
                      <w:rPr>
                        <w:rFonts w:ascii="Cambria Math" w:hAnsi="Cambria Math"/>
                        <w:sz w:val="24"/>
                        <w:szCs w:val="24"/>
                      </w:rPr>
                      <m:t>&lt;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E</m:t>
                        </m:r>
                      </m:sub>
                    </m:sSub>
                    <m:r>
                      <m:rPr>
                        <m:nor/>
                      </m:rPr>
                      <w:rPr>
                        <w:rFonts w:ascii="Times New Roman" w:hAnsi="Times New Roman"/>
                        <w:sz w:val="24"/>
                        <w:szCs w:val="24"/>
                      </w:rPr>
                      <m:t xml:space="preserve"> and </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m:t>
                        </m:r>
                        <m:ctrlPr>
                          <w:rPr>
                            <w:rFonts w:ascii="Cambria Math" w:hAnsi="Cambria Math"/>
                            <w:i/>
                            <w:sz w:val="24"/>
                            <w:szCs w:val="24"/>
                          </w:rPr>
                        </m:ctrlPr>
                      </m:sup>
                    </m:sSup>
                    <m:r>
                      <w:rPr>
                        <w:rFonts w:ascii="Cambria Math" w:hAnsi="Cambria Math"/>
                        <w:sz w:val="24"/>
                        <w:szCs w:val="24"/>
                      </w:rPr>
                      <m:t>&gt;1</m:t>
                    </m:r>
                    <m:r>
                      <m:rPr>
                        <m:nor/>
                      </m:rPr>
                      <w:rPr>
                        <w:rFonts w:ascii="Times New Roman" w:hAnsi="Times New Roman"/>
                        <w:sz w:val="24"/>
                        <w:szCs w:val="24"/>
                      </w:rPr>
                      <m:t xml:space="preserve"> or </m:t>
                    </m:r>
                    <m:sSub>
                      <m:sSubPr>
                        <m:ctrlPr>
                          <w:rPr>
                            <w:rFonts w:ascii="Cambria Math" w:hAnsi="Cambria Math"/>
                            <w:i/>
                            <w:sz w:val="24"/>
                            <w:szCs w:val="24"/>
                          </w:rPr>
                        </m:ctrlPr>
                      </m:sSubPr>
                      <m:e>
                        <m:acc>
                          <m:accPr>
                            <m:chr m:val="̄"/>
                            <m:ctrlPr>
                              <w:rPr>
                                <w:rFonts w:ascii="Cambria Math" w:hAnsi="Cambria Math"/>
                                <w:sz w:val="24"/>
                                <w:szCs w:val="24"/>
                              </w:rPr>
                            </m:ctrlPr>
                          </m:accPr>
                          <m:e>
                            <m:r>
                              <w:rPr>
                                <w:rFonts w:ascii="Cambria Math" w:hAnsi="Cambria Math"/>
                                <w:sz w:val="24"/>
                                <w:szCs w:val="24"/>
                              </w:rPr>
                              <m:t>X</m:t>
                            </m:r>
                          </m:e>
                        </m:acc>
                      </m:e>
                      <m:sub>
                        <m:r>
                          <w:rPr>
                            <w:rFonts w:ascii="Cambria Math" w:hAnsi="Cambria Math"/>
                            <w:sz w:val="24"/>
                            <w:szCs w:val="24"/>
                          </w:rPr>
                          <m:t>E</m:t>
                        </m:r>
                      </m:sub>
                    </m:sSub>
                    <m:r>
                      <w:rPr>
                        <w:rFonts w:ascii="Cambria Math" w:hAnsi="Cambria Math"/>
                        <w:sz w:val="24"/>
                        <w:szCs w:val="24"/>
                      </w:rPr>
                      <m:t>&lt;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r>
                      <m:rPr>
                        <m:nor/>
                      </m:rPr>
                      <w:rPr>
                        <w:rFonts w:ascii="Times New Roman" w:hAnsi="Times New Roman"/>
                        <w:sz w:val="24"/>
                        <w:szCs w:val="24"/>
                      </w:rPr>
                      <m:t xml:space="preserve"> and  </m:t>
                    </m:r>
                    <m:sSup>
                      <m:sSupPr>
                        <m:ctrlPr>
                          <w:rPr>
                            <w:rFonts w:ascii="Cambria Math" w:hAnsi="Cambria Math"/>
                            <w:sz w:val="24"/>
                            <w:szCs w:val="24"/>
                          </w:rPr>
                        </m:ctrlPr>
                      </m:sSupPr>
                      <m:e>
                        <m:r>
                          <w:rPr>
                            <w:rFonts w:ascii="Cambria Math" w:hAnsi="Cambria Math"/>
                            <w:sz w:val="24"/>
                            <w:szCs w:val="24"/>
                          </w:rPr>
                          <m:t>R</m:t>
                        </m:r>
                      </m:e>
                      <m:sup>
                        <m:r>
                          <w:rPr>
                            <w:rFonts w:ascii="Cambria Math" w:hAnsi="Cambria Math"/>
                            <w:sz w:val="24"/>
                            <w:szCs w:val="24"/>
                          </w:rPr>
                          <m:t>+</m:t>
                        </m:r>
                        <m:ctrlPr>
                          <w:rPr>
                            <w:rFonts w:ascii="Cambria Math" w:hAnsi="Cambria Math"/>
                            <w:i/>
                            <w:sz w:val="24"/>
                            <w:szCs w:val="24"/>
                          </w:rPr>
                        </m:ctrlPr>
                      </m:sup>
                    </m:sSup>
                    <m:r>
                      <w:rPr>
                        <w:rFonts w:ascii="Cambria Math" w:hAnsi="Cambria Math"/>
                        <w:sz w:val="24"/>
                        <w:szCs w:val="24"/>
                      </w:rPr>
                      <m:t>&lt;1)</m:t>
                    </m:r>
                  </m:e>
                </m:mr>
                <m:m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ctrlPr>
                      <w:rPr>
                        <w:rFonts w:ascii="Cambria Math" w:hAnsi="Cambria Math"/>
                        <w:sz w:val="24"/>
                        <w:szCs w:val="24"/>
                      </w:rPr>
                    </m:ctrlPr>
                  </m:e>
                  <m:e>
                    <m:r>
                      <m:rPr>
                        <m:nor/>
                      </m:rPr>
                      <w:rPr>
                        <w:rFonts w:ascii="Times New Roman" w:hAnsi="Times New Roman"/>
                        <w:sz w:val="24"/>
                        <w:szCs w:val="24"/>
                      </w:rPr>
                      <m:t>otherwise</m:t>
                    </m:r>
                    <m:ctrlPr>
                      <w:rPr>
                        <w:rFonts w:ascii="Cambria Math" w:hAnsi="Cambria Math"/>
                        <w:sz w:val="24"/>
                        <w:szCs w:val="24"/>
                      </w:rPr>
                    </m:ctrlPr>
                  </m:e>
                </m:mr>
              </m:m>
            </m:e>
          </m:d>
        </m:oMath>
      </m:oMathPara>
    </w:p>
    <w:p w14:paraId="665730D9" w14:textId="77777777" w:rsidR="00921FEA" w:rsidRPr="00AB0726" w:rsidRDefault="00921FEA" w:rsidP="00921FEA">
      <w:pPr>
        <w:pStyle w:val="MTDisplayEquation"/>
        <w:spacing w:line="480" w:lineRule="auto"/>
        <w:rPr>
          <w:rFonts w:ascii="Times New Roman" w:hAnsi="Times New Roman"/>
          <w:sz w:val="24"/>
          <w:szCs w:val="24"/>
        </w:rPr>
      </w:pPr>
      <w:r>
        <w:rPr>
          <w:rFonts w:ascii="Times New Roman" w:hAnsi="Times New Roman"/>
          <w:sz w:val="24"/>
          <w:szCs w:val="24"/>
        </w:rPr>
        <w:t>W</w:t>
      </w:r>
      <w:r w:rsidRPr="00AB0726">
        <w:rPr>
          <w:rFonts w:ascii="Times New Roman" w:hAnsi="Times New Roman"/>
          <w:sz w:val="24"/>
          <w:szCs w:val="24"/>
        </w:rPr>
        <w:t>here</w:t>
      </w:r>
      <w:r>
        <w:rPr>
          <w:rFonts w:ascii="Times New Roman" w:hAnsi="Times New Roman"/>
          <w:sz w:val="24"/>
          <w:szCs w:val="24"/>
        </w:rPr>
        <w:t>:</w:t>
      </w:r>
    </w:p>
    <w:p w14:paraId="39F9E00E" w14:textId="77777777" w:rsidR="00921FEA" w:rsidRPr="00AB0726" w:rsidRDefault="005E28D1" w:rsidP="00921FEA">
      <w:pPr>
        <w:pStyle w:val="MTDisplayEquation"/>
        <w:spacing w:line="480" w:lineRule="auto"/>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m:t>
              </m:r>
            </m:sup>
          </m:s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C</m:t>
                  </m:r>
                </m:sub>
              </m:sSub>
              <m:rad>
                <m:radPr>
                  <m:degHide m:val="1"/>
                  <m:ctrlPr>
                    <w:rPr>
                      <w:rFonts w:ascii="Cambria Math" w:hAnsi="Cambria Math"/>
                      <w:i/>
                      <w:sz w:val="24"/>
                      <w:szCs w:val="24"/>
                    </w:rPr>
                  </m:ctrlPr>
                </m:radPr>
                <m:deg/>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E</m:t>
                      </m:r>
                    </m:sub>
                  </m:sSub>
                </m:e>
              </m:rad>
            </m:num>
            <m:den>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E</m:t>
                  </m:r>
                </m:sub>
              </m:sSub>
              <m:rad>
                <m:radPr>
                  <m:degHide m:val="1"/>
                  <m:ctrlPr>
                    <w:rPr>
                      <w:rFonts w:ascii="Cambria Math" w:hAnsi="Cambria Math"/>
                      <w:i/>
                      <w:sz w:val="24"/>
                      <w:szCs w:val="24"/>
                    </w:rPr>
                  </m:ctrlPr>
                </m:radPr>
                <m:deg/>
                <m:e>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rPr>
                            <m:t>X</m:t>
                          </m:r>
                        </m:e>
                      </m:acc>
                    </m:e>
                    <m:sub>
                      <m:r>
                        <w:rPr>
                          <w:rFonts w:ascii="Cambria Math" w:hAnsi="Cambria Math"/>
                          <w:sz w:val="24"/>
                          <w:szCs w:val="24"/>
                        </w:rPr>
                        <m:t>C</m:t>
                      </m:r>
                    </m:sub>
                  </m:sSub>
                </m:e>
              </m:rad>
            </m:den>
          </m:f>
        </m:oMath>
      </m:oMathPara>
    </w:p>
    <w:p w14:paraId="42155027" w14:textId="02C3E4A7" w:rsidR="00921FEA" w:rsidRDefault="00921FEA" w:rsidP="00921FEA">
      <w:pPr>
        <w:spacing w:line="480" w:lineRule="auto"/>
        <w:jc w:val="both"/>
      </w:pPr>
      <w:r w:rsidRPr="00AB0726">
        <w:t xml:space="preserve">The ratio (R*) proposed by Zhang and </w:t>
      </w:r>
      <w:proofErr w:type="spellStart"/>
      <w:r w:rsidRPr="00AB0726">
        <w:t>Rosenbeger</w:t>
      </w:r>
      <w:proofErr w:type="spellEnd"/>
      <w:r w:rsidRPr="00AB0726">
        <w:t xml:space="preserve"> is only valid under strict assumptions of asymptotic normality in the primary endpoint</w:t>
      </w:r>
      <w:r>
        <w:t xml:space="preserve"> (</w:t>
      </w:r>
      <w:r w:rsidRPr="00E22B79">
        <w:fldChar w:fldCharType="begin" w:fldLock="1"/>
      </w:r>
      <w:r>
        <w:instrText>ADDIN CSL_CITATION {"citationItems":[{"id":"ITEM-1","itemData":{"DOI":"10.1111/j.1541-0420.2005.00496.x","ISSN":"0006341X","abstract":"We provide an explicit asymptotic method to evaluate the performance of different response-adaptive randomization procedures in clinical trials with continuous outcomes. We use this method to investigate four different response-adaptive randomization procedures. Their performance, especially in power and treatment assignment skewing to the better treatment, is thoroughly evaluated theoretically. These results are then verified by simulation. Our analysis concludes that the doubly adaptive biased coin design procedure targeting optimal allocation is the best one for practical use. We also consider the effect of delay in responses and nonstandard responses, for example, Cauchy distributed response. We illustrate our procedure by redesigning a real clinical trial. © 2005, The International Biometric Society.","author":[{"dropping-particle":"","family":"Zhang","given":"Lanju","non-dropping-particle":"","parse-names":false,"suffix":""},{"dropping-particle":"","family":"Rosenberger","given":"William F.","non-dropping-particle":"","parse-names":false,"suffix":""}],"container-title":"Biometrics","id":"ITEM-1","issue":"2","issued":{"date-parts":[["2006","6"]]},"page":"562-569","publisher":"Biometrics","title":"Response-adaptive randomization for clinical trials with continuous outcomes","type":"article-journal","volume":"62"},"uris":["http://www.mendeley.com/documents/?uuid=0e51e8f2-0408-35c8-a40f-fe84f000d020"]}],"mendeley":{"formattedCitation":"[1]","plainTextFormattedCitation":"[1]","previouslyFormattedCitation":"[15]"},"properties":{"noteIndex":0},"schema":"https://github.com/citation-style-language/schema/raw/master/csl-citation.json"}</w:instrText>
      </w:r>
      <w:r w:rsidRPr="00E22B79">
        <w:fldChar w:fldCharType="separate"/>
      </w:r>
      <w:r w:rsidRPr="00921FEA">
        <w:rPr>
          <w:noProof/>
        </w:rPr>
        <w:t>[1]</w:t>
      </w:r>
      <w:r w:rsidRPr="00E22B79">
        <w:fldChar w:fldCharType="end"/>
      </w:r>
      <w:r>
        <w:t xml:space="preserve">), in which case it is expected to maximise allocations to a superior arm while preserving power. </w:t>
      </w:r>
      <w:r w:rsidRPr="00AB0726">
        <w:t xml:space="preserve"> </w:t>
      </w:r>
      <w:r w:rsidRPr="00D005DE">
        <w:t>In simulations at the design stage, it was noted that in case of deviations from normality the randomisation change was not triggered even if the presence of an observed superiority of the treatment arm.</w:t>
      </w:r>
      <w:r>
        <w:t xml:space="preserve"> </w:t>
      </w:r>
      <w:r w:rsidRPr="00AB0726">
        <w:t xml:space="preserve">To </w:t>
      </w:r>
      <w:r>
        <w:t xml:space="preserve">better </w:t>
      </w:r>
      <w:r w:rsidRPr="00AB0726">
        <w:t xml:space="preserve">include the case of deviations from normality </w:t>
      </w:r>
      <w:r>
        <w:t xml:space="preserve">in </w:t>
      </w:r>
      <w:r w:rsidRPr="00AB0726">
        <w:t xml:space="preserve">the design allowed the ratio to be adapted if the observed treatment difference at the interim </w:t>
      </w:r>
      <w:r>
        <w:t>was</w:t>
      </w:r>
      <w:r w:rsidRPr="00AB0726">
        <w:t xml:space="preserve"> half the </w:t>
      </w:r>
      <w:r>
        <w:t>predicted</w:t>
      </w:r>
      <w:r w:rsidRPr="00AB0726">
        <w:t xml:space="preserve"> difference (7.5%)</w:t>
      </w:r>
      <w:r>
        <w:t>.</w:t>
      </w:r>
      <w:r w:rsidRPr="00AB0726">
        <w:t xml:space="preserve"> </w:t>
      </w:r>
      <w:r>
        <w:t>T</w:t>
      </w:r>
      <w:r w:rsidRPr="00AB0726">
        <w:t>he R* would then be set to 1:1.33 in favour of the beneficial treatment arm.</w:t>
      </w:r>
      <w:r>
        <w:t xml:space="preserve"> </w:t>
      </w:r>
      <w:r w:rsidRPr="00AB0726">
        <w:t xml:space="preserve">Simulation studies showed that this value was </w:t>
      </w:r>
      <w:r>
        <w:t xml:space="preserve">in </w:t>
      </w:r>
      <w:r w:rsidRPr="00AB0726">
        <w:t xml:space="preserve">the 85% percentile of the randomisation ratios </w:t>
      </w:r>
      <w:r>
        <w:t xml:space="preserve">triggered </w:t>
      </w:r>
      <w:r w:rsidRPr="00AB0726">
        <w:t>with the original adaptive design and under the alternative hypothesis of a treatment effect</w:t>
      </w:r>
      <w:r>
        <w:t>.</w:t>
      </w:r>
      <w:r w:rsidRPr="00AB0726">
        <w:t xml:space="preserve"> </w:t>
      </w:r>
      <w:r>
        <w:t>This threshold</w:t>
      </w:r>
      <w:r w:rsidRPr="00AB0726">
        <w:t xml:space="preserve"> was chosen because the resulting power of the adaptive design under assumptions of exponential</w:t>
      </w:r>
      <w:r>
        <w:t xml:space="preserve"> </w:t>
      </w:r>
      <w:r w:rsidRPr="00AB0726">
        <w:t>distributions resulted in 90%</w:t>
      </w:r>
      <w:r>
        <w:t xml:space="preserve"> and the resulting allocations were similar in both cases</w:t>
      </w:r>
      <w:r w:rsidRPr="00AB0726">
        <w:t xml:space="preserve">.   Otherwise, the ratio </w:t>
      </w:r>
      <w:r>
        <w:t>would</w:t>
      </w:r>
      <w:r w:rsidRPr="00AB0726">
        <w:t xml:space="preserve"> remain fixed and equal and the trial will not adapt after the </w:t>
      </w:r>
      <w:r w:rsidRPr="00AB0726">
        <w:lastRenderedPageBreak/>
        <w:t>interim. The above modification to the original design by Zhang and Rosenberger has been agreed as reflecting the maximum deviation for ethical reasons that were acceptable and appealing to clinicians and statisticians of this trial.</w:t>
      </w:r>
    </w:p>
    <w:p w14:paraId="46B0C48E" w14:textId="77777777" w:rsidR="00921FEA" w:rsidRPr="00E22B79" w:rsidRDefault="00921FEA" w:rsidP="00921FEA">
      <w:pPr>
        <w:spacing w:line="480" w:lineRule="auto"/>
        <w:jc w:val="both"/>
      </w:pPr>
    </w:p>
    <w:p w14:paraId="06715401" w14:textId="77777777" w:rsidR="00921FEA" w:rsidRPr="00AB0726" w:rsidRDefault="00921FEA" w:rsidP="00921FEA">
      <w:pPr>
        <w:spacing w:line="480" w:lineRule="auto"/>
        <w:jc w:val="both"/>
        <w:rPr>
          <w:b/>
          <w:bCs/>
        </w:rPr>
      </w:pPr>
      <w:r w:rsidRPr="00AB0726">
        <w:rPr>
          <w:b/>
          <w:bCs/>
        </w:rPr>
        <w:t>Efficacy and futility boundaries</w:t>
      </w:r>
    </w:p>
    <w:p w14:paraId="44B06ABA" w14:textId="77777777" w:rsidR="00921FEA" w:rsidRPr="00AB0726" w:rsidRDefault="00921FEA" w:rsidP="00921FEA">
      <w:pPr>
        <w:spacing w:line="480" w:lineRule="auto"/>
        <w:jc w:val="both"/>
        <w:rPr>
          <w:i/>
          <w:iCs/>
        </w:rPr>
      </w:pPr>
      <w:r w:rsidRPr="00AB0726">
        <w:t xml:space="preserve">The </w:t>
      </w:r>
      <w:r>
        <w:t xml:space="preserve">pre-defined </w:t>
      </w:r>
      <w:r w:rsidRPr="00AB0726">
        <w:t xml:space="preserve">stopping boundaries for futility at the interim and efficacy at study completion were </w:t>
      </w:r>
      <w:r w:rsidRPr="00E467E3">
        <w:rPr>
          <w:i/>
          <w:iCs/>
        </w:rPr>
        <w:t>u</w:t>
      </w:r>
      <w:r>
        <w:rPr>
          <w:vertAlign w:val="subscript"/>
        </w:rPr>
        <w:t>1</w:t>
      </w:r>
      <w:r w:rsidRPr="00AB0726">
        <w:t xml:space="preserve"> = 1.8 and </w:t>
      </w:r>
      <w:r w:rsidRPr="00AB0726">
        <w:rPr>
          <w:i/>
          <w:iCs/>
        </w:rPr>
        <w:t>e</w:t>
      </w:r>
      <w:r w:rsidRPr="00AB0726">
        <w:rPr>
          <w:vertAlign w:val="subscript"/>
        </w:rPr>
        <w:t>2</w:t>
      </w:r>
      <w:r w:rsidRPr="00AB0726">
        <w:t xml:space="preserve"> = -1</w:t>
      </w:r>
      <w:r>
        <w:t>.3</w:t>
      </w:r>
      <w:r w:rsidRPr="00AB0726">
        <w:t xml:space="preserve"> respectively. These test statistics were computed as follows:</w:t>
      </w:r>
    </w:p>
    <w:p w14:paraId="3EFB3C89" w14:textId="77777777" w:rsidR="00921FEA" w:rsidRPr="00AB0726" w:rsidRDefault="005E28D1" w:rsidP="00921FEA">
      <w:pPr>
        <w:spacing w:line="480" w:lineRule="auto"/>
        <w:jc w:val="both"/>
      </w:pPr>
      <m:oMath>
        <m:sSub>
          <m:sSubPr>
            <m:ctrlPr>
              <w:rPr>
                <w:rFonts w:ascii="Cambria Math" w:hAnsi="Cambria Math"/>
                <w:i/>
              </w:rPr>
            </m:ctrlPr>
          </m:sSubPr>
          <m:e>
            <m:r>
              <m:rPr>
                <m:nor/>
              </m:rPr>
              <m:t>t</m:t>
            </m:r>
          </m:e>
          <m:sub>
            <m:r>
              <m:rPr>
                <m:nor/>
              </m:rPr>
              <m:t>i</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Ei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Ci</m:t>
                </m:r>
              </m:sub>
            </m:sSub>
          </m:num>
          <m:den>
            <m:sSub>
              <m:sSubPr>
                <m:ctrlPr>
                  <w:rPr>
                    <w:rFonts w:ascii="Cambria Math" w:hAnsi="Cambria Math"/>
                    <w:i/>
                    <w:lang w:bidi="en-US"/>
                  </w:rPr>
                </m:ctrlPr>
              </m:sSubPr>
              <m:e>
                <m:r>
                  <w:rPr>
                    <w:rFonts w:ascii="Cambria Math" w:hAnsi="Cambria Math"/>
                  </w:rPr>
                  <m:t>2S</m:t>
                </m:r>
              </m:e>
              <m:sub>
                <m:r>
                  <w:rPr>
                    <w:rFonts w:ascii="Cambria Math" w:hAnsi="Cambria Math"/>
                  </w:rPr>
                  <m:t>i</m:t>
                </m:r>
              </m:sub>
            </m:sSub>
            <m:rad>
              <m:radPr>
                <m:degHide m:val="1"/>
                <m:ctrlPr>
                  <w:rPr>
                    <w:rFonts w:ascii="Cambria Math" w:hAnsi="Cambria Math"/>
                    <w:i/>
                  </w:rPr>
                </m:ctrlPr>
              </m:radPr>
              <m:deg/>
              <m:e>
                <m:sSup>
                  <m:sSupPr>
                    <m:ctrlPr>
                      <w:rPr>
                        <w:rFonts w:ascii="Cambria Math" w:hAnsi="Cambria Math"/>
                        <w:i/>
                        <w:lang w:bidi="en-US"/>
                      </w:rPr>
                    </m:ctrlPr>
                  </m:sSupPr>
                  <m:e>
                    <m:sSub>
                      <m:sSubPr>
                        <m:ctrlPr>
                          <w:rPr>
                            <w:rFonts w:ascii="Cambria Math" w:hAnsi="Cambria Math"/>
                            <w:i/>
                          </w:rPr>
                        </m:ctrlPr>
                      </m:sSubPr>
                      <m:e>
                        <m:r>
                          <w:rPr>
                            <w:rFonts w:ascii="Cambria Math" w:hAnsi="Cambria Math"/>
                          </w:rPr>
                          <m:t>n</m:t>
                        </m:r>
                      </m:e>
                      <m:sub>
                        <m:r>
                          <w:rPr>
                            <w:rFonts w:ascii="Cambria Math" w:hAnsi="Cambria Math"/>
                          </w:rPr>
                          <m:t>i</m:t>
                        </m:r>
                      </m:sub>
                    </m:sSub>
                  </m:e>
                  <m:sup>
                    <m:r>
                      <w:rPr>
                        <w:rFonts w:ascii="Cambria Math" w:hAnsi="Cambria Math"/>
                      </w:rPr>
                      <m:t>-1</m:t>
                    </m:r>
                  </m:sup>
                </m:sSup>
              </m:e>
            </m:rad>
          </m:den>
        </m:f>
        <m:r>
          <w:rPr>
            <w:rFonts w:ascii="Cambria Math" w:hAnsi="Cambria Math"/>
          </w:rPr>
          <m:t>,</m:t>
        </m:r>
        <m:r>
          <m:rPr>
            <m:nor/>
          </m:rPr>
          <m:t xml:space="preserve">  </m:t>
        </m:r>
        <w:proofErr w:type="spellStart"/>
        <m:r>
          <m:rPr>
            <m:nor/>
          </m:rPr>
          <m:t>i</m:t>
        </m:r>
        <w:proofErr w:type="spellEnd"/>
        <m:r>
          <w:rPr>
            <w:rFonts w:ascii="Cambria Math" w:hAnsi="Cambria Math"/>
          </w:rPr>
          <m:t>=1,2</m:t>
        </m:r>
      </m:oMath>
      <w:r w:rsidR="00921FEA" w:rsidRPr="00AB0726">
        <w:t xml:space="preserve"> S</w:t>
      </w:r>
      <w:proofErr w:type="spellStart"/>
      <w:r w:rsidR="00921FEA" w:rsidRPr="00AB0726">
        <w:rPr>
          <w:vertAlign w:val="subscript"/>
        </w:rPr>
        <w:t>i</w:t>
      </w:r>
      <w:proofErr w:type="spellEnd"/>
      <w:r w:rsidR="00921FEA" w:rsidRPr="00AB0726">
        <w:t xml:space="preserve"> and </w:t>
      </w:r>
      <w:proofErr w:type="spellStart"/>
      <w:r w:rsidR="00921FEA" w:rsidRPr="00AB0726">
        <w:t>n</w:t>
      </w:r>
      <w:r w:rsidR="00921FEA" w:rsidRPr="00AB0726">
        <w:rPr>
          <w:vertAlign w:val="subscript"/>
        </w:rPr>
        <w:t>i</w:t>
      </w:r>
      <w:proofErr w:type="spellEnd"/>
      <w:r w:rsidR="00921FEA" w:rsidRPr="00AB0726">
        <w:t xml:space="preserve"> are the sample standard deviation and sample size at the </w:t>
      </w:r>
      <w:proofErr w:type="spellStart"/>
      <w:r w:rsidR="00921FEA" w:rsidRPr="00AB0726">
        <w:t>i</w:t>
      </w:r>
      <w:r w:rsidR="00921FEA" w:rsidRPr="00AB0726">
        <w:rPr>
          <w:vertAlign w:val="superscript"/>
        </w:rPr>
        <w:t>th</w:t>
      </w:r>
      <w:proofErr w:type="spellEnd"/>
      <w:r w:rsidR="00921FEA" w:rsidRPr="00AB0726">
        <w:t xml:space="preserve"> analysis. These stopping rules meant that if the treatment group has a mean r-time 20% higher than the control, the trial stops in its first interim with a 90% probability (that is out of 10000 simulated trials, 9000 stopped at 1st stage). If the treatment group has a mean r-time 14% higher than the control, the trial stops in its first interim with a 64% probability (again out of 10000 simulated trials). Under the null, the trial stops for futility in 3.4% of simulated trials and under the alternative this happens with 0 probability. If the primary outcome followed a non-normal distribution the efficacy analysis was be carried out using a resampling method.</w:t>
      </w:r>
    </w:p>
    <w:p w14:paraId="474E1AE0" w14:textId="77777777" w:rsidR="00921FEA" w:rsidRPr="00AB0726" w:rsidRDefault="00921FEA" w:rsidP="00921FEA">
      <w:pPr>
        <w:spacing w:line="480" w:lineRule="auto"/>
        <w:jc w:val="both"/>
        <w:rPr>
          <w:i/>
          <w:iCs/>
        </w:rPr>
      </w:pPr>
    </w:p>
    <w:p w14:paraId="1A69EBAE" w14:textId="77777777" w:rsidR="00921FEA" w:rsidRPr="00AB0726" w:rsidRDefault="00921FEA" w:rsidP="00921FEA">
      <w:pPr>
        <w:spacing w:line="480" w:lineRule="auto"/>
        <w:jc w:val="both"/>
        <w:rPr>
          <w:b/>
          <w:bCs/>
        </w:rPr>
      </w:pPr>
      <w:r w:rsidRPr="00AB0726">
        <w:rPr>
          <w:b/>
          <w:bCs/>
        </w:rPr>
        <w:t>Resampling analysis</w:t>
      </w:r>
    </w:p>
    <w:p w14:paraId="6C831FB1" w14:textId="43475C7B" w:rsidR="00921FEA" w:rsidRDefault="00921FEA" w:rsidP="00921FEA">
      <w:pPr>
        <w:spacing w:line="480" w:lineRule="auto"/>
        <w:jc w:val="both"/>
        <w:rPr>
          <w:b/>
          <w:bCs/>
        </w:rPr>
      </w:pPr>
      <w:r w:rsidRPr="00AB0726">
        <w:t>Due to the non-normal nature of the data the primary efficacy analysis was carried out in resampling-based framework instead of the efficacy boundary. A randomisation-based approach ensured type I error is preserved despite any deviations in assumptions and taking the adaptive design into account</w:t>
      </w:r>
      <w:r>
        <w:t xml:space="preserve"> (</w:t>
      </w:r>
      <w:r w:rsidRPr="00E22B79">
        <w:fldChar w:fldCharType="begin" w:fldLock="1"/>
      </w:r>
      <w:r>
        <w:instrText>ADDIN CSL_CITATION {"citationItems":[{"id":"ITEM-1","itemData":{"DOI":"10.1016/j.spl.2010.12.018","ISSN":"01677152","abstract":"We demonstrate that clinical trials using response adaptive randomized treatment assignment rules are subject to substantial bias if there are time trends in unknown prognostic factors and standard methods of analysis are used. We develop a general class of randomization tests based on generating the null distribution of a general test statistic by repeating the adaptive randomized treatment assignment rule holding fixed the sequence of outcome values and covariate vectors actually observed in the trial. We develop broad conditions on the adaptive randomization method and the stochastic mechanism by which outcomes and covariate vectors are sampled that ensure that the type I error is controlled at the level of the randomization test. These conditions ensure that the use of the randomization test protects the type I error against time trends that are independent of the treatment assignments. Under some conditions in which the prognosis of future patients is determined by knowledge of the current randomization weights, the type I error is not strictly protected. We show that response adaptive randomization can result in substantial reduction in statistical power when the type I error is preserved. Our results also ensure that type I error is controlled at the level of the randomization test for adaptive stratification designs used for balancing covariates. © 2011.","author":[{"dropping-particle":"","family":"Simon","given":"Richard","non-dropping-particle":"","parse-names":false,"suffix":""},{"dropping-particle":"","family":"Simon","given":"Noah Robin","non-dropping-particle":"","parse-names":false,"suffix":""}],"container-title":"Statistics and Probability Letters","id":"ITEM-1","issue":"7","issued":{"date-parts":[["2011","7"]]},"page":"767-772","publisher":"NIH Public Access","title":"Using randomization tests to preserve type I error with response adaptive and covariate adaptive randomization","type":"article-journal","volume":"81"},"uris":["http://www.mendeley.com/documents/?uuid=8094c745-1416-385d-a811-224267a6a9b4"]}],"mendeley":{"formattedCitation":"[2]","plainTextFormattedCitation":"[2]","previouslyFormattedCitation":"[20]"},"properties":{"noteIndex":0},"schema":"https://github.com/citation-style-language/schema/raw/master/csl-citation.json"}</w:instrText>
      </w:r>
      <w:r w:rsidRPr="00E22B79">
        <w:fldChar w:fldCharType="separate"/>
      </w:r>
      <w:r w:rsidRPr="00921FEA">
        <w:rPr>
          <w:noProof/>
        </w:rPr>
        <w:t>[2]</w:t>
      </w:r>
      <w:r w:rsidRPr="00E22B79">
        <w:fldChar w:fldCharType="end"/>
      </w:r>
      <w:r>
        <w:t>).</w:t>
      </w:r>
      <w:r w:rsidRPr="00AB0726">
        <w:t xml:space="preserve">  Patients were ordered by recruitment date and then their group assignment were resampled at random</w:t>
      </w:r>
      <w:r>
        <w:t xml:space="preserve"> according to the original design</w:t>
      </w:r>
      <w:r w:rsidRPr="00AB0726">
        <w:t xml:space="preserve">. For the first 114 cases this was at a 1:1 ratio representing the first stage of the trial. At this point the effect size </w:t>
      </w:r>
      <w:r>
        <w:t>was</w:t>
      </w:r>
      <w:r w:rsidRPr="00AB0726">
        <w:t xml:space="preserve"> assessed </w:t>
      </w:r>
      <w:r>
        <w:t xml:space="preserve">having noted a greater than </w:t>
      </w:r>
      <w:r w:rsidRPr="00AB0726">
        <w:t>7.5% difference in treatment arms</w:t>
      </w:r>
      <w:r>
        <w:t>,</w:t>
      </w:r>
      <w:r w:rsidRPr="00AB0726">
        <w:t xml:space="preserve"> the second 114 group assignments </w:t>
      </w:r>
      <w:r>
        <w:t>was</w:t>
      </w:r>
      <w:r w:rsidRPr="00AB0726">
        <w:t xml:space="preserve"> sampled at a ratio of 1:1.33</w:t>
      </w:r>
      <w:r>
        <w:t xml:space="preserve">. If a difference of this magnitude had not </w:t>
      </w:r>
      <w:r>
        <w:lastRenderedPageBreak/>
        <w:t>been noted, the ratio would have remained at 1:1</w:t>
      </w:r>
      <w:r w:rsidRPr="00AB0726">
        <w:t>. This procedure was repeated 100,000 times and the t statistic was calculated for each iteration. Finally, we calculated the true p</w:t>
      </w:r>
      <w:r>
        <w:t>-</w:t>
      </w:r>
      <w:r w:rsidRPr="00AB0726">
        <w:t>value of the observed data as the proportion of times that there was a more extreme test statistic generated by chance.</w:t>
      </w:r>
    </w:p>
    <w:p w14:paraId="195374AA" w14:textId="7D63ACF4" w:rsidR="00DF61C0" w:rsidRDefault="00DF61C0"/>
    <w:p w14:paraId="68F786D8" w14:textId="1F6ACE28" w:rsidR="00921FEA" w:rsidRDefault="00921FEA" w:rsidP="00921FEA">
      <w:pPr>
        <w:spacing w:line="480" w:lineRule="auto"/>
        <w:rPr>
          <w:b/>
          <w:bCs/>
        </w:rPr>
      </w:pPr>
      <w:r>
        <w:rPr>
          <w:b/>
          <w:bCs/>
        </w:rPr>
        <w:t>References</w:t>
      </w:r>
    </w:p>
    <w:p w14:paraId="06717672" w14:textId="43E06964" w:rsidR="00921FEA" w:rsidRPr="00921FEA" w:rsidRDefault="00921FEA" w:rsidP="00921FEA">
      <w:pPr>
        <w:widowControl w:val="0"/>
        <w:autoSpaceDE w:val="0"/>
        <w:autoSpaceDN w:val="0"/>
        <w:adjustRightInd w:val="0"/>
        <w:spacing w:line="480" w:lineRule="auto"/>
        <w:ind w:left="640" w:hanging="640"/>
        <w:rPr>
          <w:noProof/>
          <w:lang w:val="en-GB"/>
        </w:rPr>
      </w:pPr>
      <w:r>
        <w:rPr>
          <w:b/>
          <w:bCs/>
        </w:rPr>
        <w:fldChar w:fldCharType="begin" w:fldLock="1"/>
      </w:r>
      <w:r>
        <w:rPr>
          <w:b/>
          <w:bCs/>
        </w:rPr>
        <w:instrText xml:space="preserve">ADDIN Mendeley Bibliography CSL_BIBLIOGRAPHY </w:instrText>
      </w:r>
      <w:r>
        <w:rPr>
          <w:b/>
          <w:bCs/>
        </w:rPr>
        <w:fldChar w:fldCharType="separate"/>
      </w:r>
      <w:r w:rsidRPr="00921FEA">
        <w:rPr>
          <w:noProof/>
          <w:lang w:val="en-GB"/>
        </w:rPr>
        <w:t xml:space="preserve">1. </w:t>
      </w:r>
      <w:r w:rsidRPr="00921FEA">
        <w:rPr>
          <w:noProof/>
          <w:lang w:val="en-GB"/>
        </w:rPr>
        <w:tab/>
        <w:t>Zhang L, Rosenberger WF. Response-adaptive randomization for clinical trials with continuous outcomes. Biometrics. 2006;62: 562–569. doi:10.1111/j.1541-0420.2005.00496.x</w:t>
      </w:r>
    </w:p>
    <w:p w14:paraId="49D9A52B" w14:textId="77777777" w:rsidR="00921FEA" w:rsidRPr="00921FEA" w:rsidRDefault="00921FEA" w:rsidP="00921FEA">
      <w:pPr>
        <w:widowControl w:val="0"/>
        <w:autoSpaceDE w:val="0"/>
        <w:autoSpaceDN w:val="0"/>
        <w:adjustRightInd w:val="0"/>
        <w:spacing w:line="480" w:lineRule="auto"/>
        <w:ind w:left="640" w:hanging="640"/>
        <w:rPr>
          <w:noProof/>
        </w:rPr>
      </w:pPr>
      <w:r w:rsidRPr="00921FEA">
        <w:rPr>
          <w:noProof/>
          <w:lang w:val="en-GB"/>
        </w:rPr>
        <w:t xml:space="preserve">2. </w:t>
      </w:r>
      <w:r w:rsidRPr="00921FEA">
        <w:rPr>
          <w:noProof/>
          <w:lang w:val="en-GB"/>
        </w:rPr>
        <w:tab/>
        <w:t>Simon R, Simon NR. Using randomization tests to preserve type I error with response adaptive and covariate adaptive randomization. Stat Probab Lett. 2011;81: 767–772. doi:10.1016/j.spl.2010.12.018</w:t>
      </w:r>
    </w:p>
    <w:p w14:paraId="58467AE1" w14:textId="3DA22D7A" w:rsidR="00921FEA" w:rsidRDefault="00921FEA" w:rsidP="00921FEA">
      <w:pPr>
        <w:spacing w:line="480" w:lineRule="auto"/>
        <w:rPr>
          <w:b/>
          <w:bCs/>
        </w:rPr>
      </w:pPr>
      <w:r>
        <w:rPr>
          <w:b/>
          <w:bCs/>
        </w:rPr>
        <w:fldChar w:fldCharType="end"/>
      </w:r>
    </w:p>
    <w:p w14:paraId="0C519D44" w14:textId="77777777" w:rsidR="00921FEA" w:rsidRPr="00921FEA" w:rsidRDefault="00921FEA">
      <w:pPr>
        <w:rPr>
          <w:b/>
          <w:bCs/>
        </w:rPr>
      </w:pPr>
    </w:p>
    <w:sectPr w:rsidR="00921FEA" w:rsidRPr="00921FEA">
      <w:headerReference w:type="even" r:id="rId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B1981" w14:textId="77777777" w:rsidR="005E28D1" w:rsidRDefault="005E28D1" w:rsidP="00B327CE">
      <w:r>
        <w:separator/>
      </w:r>
    </w:p>
  </w:endnote>
  <w:endnote w:type="continuationSeparator" w:id="0">
    <w:p w14:paraId="13609B68" w14:textId="77777777" w:rsidR="005E28D1" w:rsidRDefault="005E28D1" w:rsidP="00B3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89559" w14:textId="77777777" w:rsidR="005E28D1" w:rsidRDefault="005E28D1" w:rsidP="00B327CE">
      <w:r>
        <w:separator/>
      </w:r>
    </w:p>
  </w:footnote>
  <w:footnote w:type="continuationSeparator" w:id="0">
    <w:p w14:paraId="17DD053F" w14:textId="77777777" w:rsidR="005E28D1" w:rsidRDefault="005E28D1" w:rsidP="00B32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2223562"/>
      <w:docPartObj>
        <w:docPartGallery w:val="Page Numbers (Top of Page)"/>
        <w:docPartUnique/>
      </w:docPartObj>
    </w:sdtPr>
    <w:sdtEndPr>
      <w:rPr>
        <w:rStyle w:val="PageNumber"/>
      </w:rPr>
    </w:sdtEndPr>
    <w:sdtContent>
      <w:p w14:paraId="24DD125F" w14:textId="0CCDC87F" w:rsidR="00B327CE" w:rsidRDefault="00B327CE" w:rsidP="00931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6BDA80" w14:textId="77777777" w:rsidR="00B327CE" w:rsidRDefault="00B327CE" w:rsidP="00B327C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6370917"/>
      <w:docPartObj>
        <w:docPartGallery w:val="Page Numbers (Top of Page)"/>
        <w:docPartUnique/>
      </w:docPartObj>
    </w:sdtPr>
    <w:sdtEndPr>
      <w:rPr>
        <w:rStyle w:val="PageNumber"/>
      </w:rPr>
    </w:sdtEndPr>
    <w:sdtContent>
      <w:p w14:paraId="0AA77DA4" w14:textId="4D0C4282" w:rsidR="00B327CE" w:rsidRDefault="00B327CE" w:rsidP="009310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B062B" w14:textId="77777777" w:rsidR="00B327CE" w:rsidRDefault="00B327CE" w:rsidP="00B327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FEA"/>
    <w:rsid w:val="0052720E"/>
    <w:rsid w:val="005E28D1"/>
    <w:rsid w:val="007352CE"/>
    <w:rsid w:val="00875784"/>
    <w:rsid w:val="00921FEA"/>
    <w:rsid w:val="00B327CE"/>
    <w:rsid w:val="00DF6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7A0FF"/>
  <w15:chartTrackingRefBased/>
  <w15:docId w15:val="{502B437D-450C-9C46-A6A0-9E886CBA7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F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921FEA"/>
    <w:pPr>
      <w:keepNext/>
      <w:keepLines/>
      <w:widowControl w:val="0"/>
      <w:tabs>
        <w:tab w:val="center" w:pos="4520"/>
        <w:tab w:val="right" w:pos="9020"/>
      </w:tabs>
      <w:spacing w:after="200" w:line="276" w:lineRule="auto"/>
      <w:jc w:val="both"/>
    </w:pPr>
    <w:rPr>
      <w:rFonts w:ascii="Lucida Sans Unicode" w:hAnsi="Lucida Sans Unicode"/>
      <w:sz w:val="22"/>
      <w:szCs w:val="22"/>
      <w:lang w:bidi="en-US"/>
    </w:rPr>
  </w:style>
  <w:style w:type="character" w:customStyle="1" w:styleId="MTDisplayEquationChar">
    <w:name w:val="MTDisplayEquation Char"/>
    <w:link w:val="MTDisplayEquation"/>
    <w:rsid w:val="00921FEA"/>
    <w:rPr>
      <w:rFonts w:ascii="Lucida Sans Unicode" w:eastAsia="Times New Roman" w:hAnsi="Lucida Sans Unicode" w:cs="Times New Roman"/>
      <w:sz w:val="22"/>
      <w:szCs w:val="22"/>
      <w:lang w:eastAsia="en-GB" w:bidi="en-US"/>
    </w:rPr>
  </w:style>
  <w:style w:type="paragraph" w:styleId="BalloonText">
    <w:name w:val="Balloon Text"/>
    <w:basedOn w:val="Normal"/>
    <w:link w:val="BalloonTextChar"/>
    <w:uiPriority w:val="99"/>
    <w:semiHidden/>
    <w:unhideWhenUsed/>
    <w:rsid w:val="00921FEA"/>
    <w:rPr>
      <w:sz w:val="18"/>
      <w:szCs w:val="18"/>
    </w:rPr>
  </w:style>
  <w:style w:type="character" w:customStyle="1" w:styleId="BalloonTextChar">
    <w:name w:val="Balloon Text Char"/>
    <w:basedOn w:val="DefaultParagraphFont"/>
    <w:link w:val="BalloonText"/>
    <w:uiPriority w:val="99"/>
    <w:semiHidden/>
    <w:rsid w:val="00921FEA"/>
    <w:rPr>
      <w:rFonts w:ascii="Times New Roman" w:eastAsia="Times New Roman" w:hAnsi="Times New Roman" w:cs="Times New Roman"/>
      <w:sz w:val="18"/>
      <w:szCs w:val="18"/>
      <w:lang w:eastAsia="en-GB"/>
    </w:rPr>
  </w:style>
  <w:style w:type="paragraph" w:styleId="Header">
    <w:name w:val="header"/>
    <w:basedOn w:val="Normal"/>
    <w:link w:val="HeaderChar"/>
    <w:uiPriority w:val="99"/>
    <w:unhideWhenUsed/>
    <w:rsid w:val="00B327CE"/>
    <w:pPr>
      <w:tabs>
        <w:tab w:val="center" w:pos="4513"/>
        <w:tab w:val="right" w:pos="9026"/>
      </w:tabs>
    </w:pPr>
  </w:style>
  <w:style w:type="character" w:customStyle="1" w:styleId="HeaderChar">
    <w:name w:val="Header Char"/>
    <w:basedOn w:val="DefaultParagraphFont"/>
    <w:link w:val="Header"/>
    <w:uiPriority w:val="99"/>
    <w:rsid w:val="00B327CE"/>
    <w:rPr>
      <w:rFonts w:ascii="Times New Roman" w:eastAsia="Times New Roman" w:hAnsi="Times New Roman" w:cs="Times New Roman"/>
      <w:lang w:eastAsia="en-GB"/>
    </w:rPr>
  </w:style>
  <w:style w:type="paragraph" w:styleId="Footer">
    <w:name w:val="footer"/>
    <w:basedOn w:val="Normal"/>
    <w:link w:val="FooterChar"/>
    <w:uiPriority w:val="99"/>
    <w:unhideWhenUsed/>
    <w:rsid w:val="00B327CE"/>
    <w:pPr>
      <w:tabs>
        <w:tab w:val="center" w:pos="4513"/>
        <w:tab w:val="right" w:pos="9026"/>
      </w:tabs>
    </w:pPr>
  </w:style>
  <w:style w:type="character" w:customStyle="1" w:styleId="FooterChar">
    <w:name w:val="Footer Char"/>
    <w:basedOn w:val="DefaultParagraphFont"/>
    <w:link w:val="Footer"/>
    <w:uiPriority w:val="99"/>
    <w:rsid w:val="00B327CE"/>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32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BA74-89F1-3C44-838B-30F7272F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Miles</dc:creator>
  <cp:keywords/>
  <dc:description/>
  <cp:lastModifiedBy>Lachlan Miles</cp:lastModifiedBy>
  <cp:revision>2</cp:revision>
  <dcterms:created xsi:type="dcterms:W3CDTF">2021-05-18T23:58:00Z</dcterms:created>
  <dcterms:modified xsi:type="dcterms:W3CDTF">2021-05-18T23:58:00Z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http://www.zotero.org/styles/anaesthesia</vt:lpwstr>
  </property>
  <property fmtid="{D5CDD505-2E9C-101B-9397-08002B2CF9AE}" pid="7" name="Mendeley Recent Style Name 2_1">
    <vt:lpwstr>Anaesthesia</vt:lpwstr>
  </property>
  <property fmtid="{D5CDD505-2E9C-101B-9397-08002B2CF9AE}" pid="8" name="Mendeley Recent Style Id 3_1">
    <vt:lpwstr>http://www.zotero.org/styles/anesthesiology</vt:lpwstr>
  </property>
  <property fmtid="{D5CDD505-2E9C-101B-9397-08002B2CF9AE}" pid="9" name="Mendeley Recent Style Name 3_1">
    <vt:lpwstr>Anesthesiology</vt:lpwstr>
  </property>
  <property fmtid="{D5CDD505-2E9C-101B-9397-08002B2CF9AE}" pid="10" name="Mendeley Recent Style Id 4_1">
    <vt:lpwstr>http://www.zotero.org/styles/british-journal-of-anaesthesia</vt:lpwstr>
  </property>
  <property fmtid="{D5CDD505-2E9C-101B-9397-08002B2CF9AE}" pid="11" name="Mendeley Recent Style Name 4_1">
    <vt:lpwstr>British Journal of Anaesthesia</vt:lpwstr>
  </property>
  <property fmtid="{D5CDD505-2E9C-101B-9397-08002B2CF9AE}" pid="12" name="Mendeley Recent Style Id 5_1">
    <vt:lpwstr>http://www.zotero.org/styles/journal-of-the-american-college-of-cardiology</vt:lpwstr>
  </property>
  <property fmtid="{D5CDD505-2E9C-101B-9397-08002B2CF9AE}" pid="13" name="Mendeley Recent Style Name 5_1">
    <vt:lpwstr>Journal of the American College of Cardiology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http://www.zotero.org/styles/plos-medicine</vt:lpwstr>
  </property>
  <property fmtid="{D5CDD505-2E9C-101B-9397-08002B2CF9AE}" pid="19" name="Mendeley Recent Style Name 8_1">
    <vt:lpwstr>PLOS Medicine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5899a09e-adf0-3b4b-b2bd-b69085caff7e</vt:lpwstr>
  </property>
  <property fmtid="{D5CDD505-2E9C-101B-9397-08002B2CF9AE}" pid="24" name="Mendeley Citation Style_1">
    <vt:lpwstr>http://www.zotero.org/styles/plos-medicine</vt:lpwstr>
  </property>
</Properties>
</file>