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3E74" w14:textId="086D1FD3" w:rsidR="00DA6E41" w:rsidRDefault="00DA6E41" w:rsidP="00DA6E41">
      <w:pPr>
        <w:pStyle w:val="Heading1"/>
      </w:pPr>
      <w:bookmarkStart w:id="0" w:name="_Toc54170876"/>
      <w:r>
        <w:t>S</w:t>
      </w:r>
      <w:r w:rsidR="009E517F">
        <w:t>2</w:t>
      </w:r>
      <w:r>
        <w:t xml:space="preserve"> </w:t>
      </w:r>
      <w:r w:rsidR="0076555F" w:rsidRPr="0076555F">
        <w:t>Appendix</w:t>
      </w:r>
      <w:r>
        <w:t>. Multimorbidity ICD-10 codes</w:t>
      </w:r>
      <w:bookmarkEnd w:id="0"/>
    </w:p>
    <w:p w14:paraId="5689E798" w14:textId="77777777" w:rsidR="00DA6E41" w:rsidRPr="0047403B" w:rsidRDefault="00DA6E41" w:rsidP="00DA6E41">
      <w:r>
        <w:t xml:space="preserve">(Table adapted from Table 1 in </w:t>
      </w:r>
      <w:r w:rsidRPr="0047403B">
        <w:t>Tonelli, M., Wiebe, N., Fortin, M., Guthrie, B., Hemmelgarn, B.R., James, M.T., Klarenbach, S.W., Lewanczuk, R., Manns, B.J., Ronksley, P. and Sargious, P., 2015. Methods for identifying 30 chronic conditions: application to administrative data. </w:t>
      </w:r>
      <w:r w:rsidRPr="0047403B">
        <w:rPr>
          <w:i/>
          <w:iCs/>
        </w:rPr>
        <w:t>BMC medical informatics and decision making</w:t>
      </w:r>
      <w:r w:rsidRPr="0047403B">
        <w:t>, </w:t>
      </w:r>
      <w:r w:rsidRPr="0047403B">
        <w:rPr>
          <w:i/>
          <w:iCs/>
        </w:rPr>
        <w:t>15</w:t>
      </w:r>
      <w:r w:rsidRPr="0047403B">
        <w:t>(1), p.31.</w:t>
      </w:r>
      <w:r>
        <w:t>)</w:t>
      </w:r>
    </w:p>
    <w:tbl>
      <w:tblPr>
        <w:tblW w:w="5069" w:type="pct"/>
        <w:tblBorders>
          <w:top w:val="single" w:sz="6" w:space="0" w:color="B0A8A3"/>
          <w:left w:val="single" w:sz="6" w:space="0" w:color="B0A8A3"/>
          <w:bottom w:val="single" w:sz="6" w:space="0" w:color="B0A8A3"/>
          <w:right w:val="single" w:sz="6" w:space="0" w:color="B0A8A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752"/>
        <w:gridCol w:w="5624"/>
      </w:tblGrid>
      <w:tr w:rsidR="00DA6E41" w:rsidRPr="0047403B" w14:paraId="381AE8C7" w14:textId="77777777" w:rsidTr="0029439B">
        <w:trPr>
          <w:tblHeader/>
        </w:trPr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68B03" w14:textId="77777777" w:rsidR="00DA6E41" w:rsidRPr="0047403B" w:rsidRDefault="00DA6E41" w:rsidP="0029439B">
            <w:pPr>
              <w:rPr>
                <w:b/>
                <w:bCs/>
              </w:rPr>
            </w:pPr>
            <w:r w:rsidRPr="0047403B">
              <w:rPr>
                <w:b/>
                <w:bCs/>
              </w:rPr>
              <w:t>Morbidity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8FAEEE" w14:textId="77777777" w:rsidR="00DA6E41" w:rsidRPr="0047403B" w:rsidRDefault="00DA6E41" w:rsidP="0029439B">
            <w:pPr>
              <w:rPr>
                <w:b/>
                <w:bCs/>
              </w:rPr>
            </w:pPr>
            <w:r w:rsidRPr="0047403B">
              <w:rPr>
                <w:b/>
                <w:bCs/>
              </w:rPr>
              <w:t>ICD-10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EDEBE8"/>
          </w:tcPr>
          <w:p w14:paraId="3236CD2F" w14:textId="77777777" w:rsidR="00DA6E41" w:rsidRDefault="00DA6E41" w:rsidP="0029439B">
            <w:r>
              <w:rPr>
                <w:b/>
                <w:bCs/>
              </w:rPr>
              <w:t>Included in NHS compulsory comorbidity coding? (</w:t>
            </w:r>
            <w:hyperlink r:id="rId4" w:history="1">
              <w:r w:rsidRPr="0063239B">
                <w:rPr>
                  <w:rStyle w:val="Hyperlink"/>
                </w:rPr>
                <w:t>https://hscic.kahootz.com/gf2.ti/f/762498/27838341.1/PDF/-/Coding_Clinic_032017_V6.2.pdf</w:t>
              </w:r>
            </w:hyperlink>
            <w:r>
              <w:t>)</w:t>
            </w:r>
          </w:p>
          <w:p w14:paraId="7B6A4D0D" w14:textId="77777777" w:rsidR="00DA6E41" w:rsidRPr="00510955" w:rsidRDefault="00DA6E41" w:rsidP="0029439B">
            <w:r>
              <w:t>“When other conditions, not contained within the comorbidity list, have been identified by the responsible consultant as clinically relevant, these conditions must also be coded.”</w:t>
            </w:r>
          </w:p>
        </w:tc>
      </w:tr>
      <w:tr w:rsidR="00DA6E41" w:rsidRPr="0047403B" w14:paraId="5C4440E4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0FA46" w14:textId="77777777" w:rsidR="00DA6E41" w:rsidRPr="0047403B" w:rsidRDefault="00DA6E41" w:rsidP="0029439B">
            <w:r>
              <w:t>Alcohol misuse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E436B" w14:textId="77777777" w:rsidR="00DA6E41" w:rsidRPr="0047403B" w:rsidRDefault="00DA6E41" w:rsidP="0029439B">
            <w:r w:rsidRPr="0047403B">
              <w:t>E52, F10, G62.1, I42.6,K29.2, K70.0, K70.3, K70.9, T51, Z50.2, Z71.4, Z72.1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6B1D409A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78D8B64B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A48DD" w14:textId="77777777" w:rsidR="00DA6E41" w:rsidRPr="0047403B" w:rsidRDefault="00DA6E41" w:rsidP="0029439B">
            <w:r w:rsidRPr="0047403B">
              <w:t>Asthma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A1E8E" w14:textId="77777777" w:rsidR="00DA6E41" w:rsidRPr="0047403B" w:rsidRDefault="00DA6E41" w:rsidP="0029439B">
            <w:r w:rsidRPr="0047403B">
              <w:t>J45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3582E003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065CD205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647F8" w14:textId="77777777" w:rsidR="00DA6E41" w:rsidRPr="0047403B" w:rsidRDefault="00DA6E41" w:rsidP="0029439B">
            <w:r w:rsidRPr="0047403B">
              <w:t>Atrial fibrillation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3BE26" w14:textId="77777777" w:rsidR="00DA6E41" w:rsidRPr="0047403B" w:rsidRDefault="00DA6E41" w:rsidP="0029439B">
            <w:r w:rsidRPr="0047403B">
              <w:t>I48.0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5F29577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11674AFD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1D0DA" w14:textId="77777777" w:rsidR="00DA6E41" w:rsidRPr="0047403B" w:rsidRDefault="00DA6E41" w:rsidP="0029439B">
            <w:r w:rsidRPr="0047403B">
              <w:t>Cancer, lymphoma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5F62A" w14:textId="77777777" w:rsidR="00DA6E41" w:rsidRPr="0047403B" w:rsidRDefault="00DA6E41" w:rsidP="0029439B">
            <w:r w:rsidRPr="0047403B">
              <w:t>C81–C85, C88, C90.0, C90.2, C96</w:t>
            </w:r>
          </w:p>
        </w:tc>
        <w:tc>
          <w:tcPr>
            <w:tcW w:w="3081" w:type="pct"/>
            <w:vMerge w:val="restart"/>
            <w:tcBorders>
              <w:top w:val="single" w:sz="6" w:space="0" w:color="B0A8A3"/>
              <w:left w:val="single" w:sz="6" w:space="0" w:color="B0A8A3"/>
              <w:right w:val="single" w:sz="6" w:space="0" w:color="B0A8A3"/>
            </w:tcBorders>
            <w:shd w:val="clear" w:color="auto" w:fill="FFFFFF"/>
          </w:tcPr>
          <w:p w14:paraId="2521813A" w14:textId="77777777" w:rsidR="00DA6E41" w:rsidRPr="0047403B" w:rsidRDefault="00DA6E41" w:rsidP="0029439B">
            <w:r>
              <w:t>No (but, “Typically a cancer centre uses a continuous medical record for a patient admitted for a course of chemotherapy to treat malignant neoplasm. The co-morbidities will be recorded in the medical record on the first admission but will not always be repeated”)</w:t>
            </w:r>
          </w:p>
        </w:tc>
      </w:tr>
      <w:tr w:rsidR="00DA6E41" w:rsidRPr="0047403B" w14:paraId="3BAA267D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4993C" w14:textId="77777777" w:rsidR="00DA6E41" w:rsidRPr="0047403B" w:rsidRDefault="00DA6E41" w:rsidP="0029439B">
            <w:r w:rsidRPr="0047403B">
              <w:t>Cancer, metastatic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77E05" w14:textId="77777777" w:rsidR="00DA6E41" w:rsidRPr="0047403B" w:rsidRDefault="00DA6E41" w:rsidP="0029439B">
            <w:r w:rsidRPr="0047403B">
              <w:t>C77–C80</w:t>
            </w:r>
          </w:p>
        </w:tc>
        <w:tc>
          <w:tcPr>
            <w:tcW w:w="3081" w:type="pct"/>
            <w:vMerge/>
            <w:tcBorders>
              <w:left w:val="single" w:sz="6" w:space="0" w:color="B0A8A3"/>
              <w:right w:val="single" w:sz="6" w:space="0" w:color="B0A8A3"/>
            </w:tcBorders>
            <w:shd w:val="clear" w:color="auto" w:fill="FFFFFF"/>
          </w:tcPr>
          <w:p w14:paraId="0E5A5CE3" w14:textId="77777777" w:rsidR="00DA6E41" w:rsidRPr="0047403B" w:rsidRDefault="00DA6E41" w:rsidP="0029439B"/>
        </w:tc>
      </w:tr>
      <w:tr w:rsidR="00DA6E41" w:rsidRPr="0047403B" w14:paraId="3AAE3826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361D4" w14:textId="77777777" w:rsidR="00DA6E41" w:rsidRPr="0047403B" w:rsidRDefault="00DA6E41" w:rsidP="0029439B">
            <w:r w:rsidRPr="0047403B">
              <w:t>Cancer, non-metastatic (breast, cervical, colorectal, lung, prostate)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CC260" w14:textId="77777777" w:rsidR="00DA6E41" w:rsidRPr="0047403B" w:rsidRDefault="00DA6E41" w:rsidP="0029439B">
            <w:r w:rsidRPr="0047403B">
              <w:t>C18-C21, C33-C34, C38.4, C45.0, C46.71, C50, C53, C61, D01.0-D01.3, D02.2, D05-D06, D07.5</w:t>
            </w:r>
          </w:p>
        </w:tc>
        <w:tc>
          <w:tcPr>
            <w:tcW w:w="3081" w:type="pct"/>
            <w:vMerge/>
            <w:tcBorders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859DE33" w14:textId="77777777" w:rsidR="00DA6E41" w:rsidRPr="0047403B" w:rsidRDefault="00DA6E41" w:rsidP="0029439B"/>
        </w:tc>
      </w:tr>
      <w:tr w:rsidR="00DA6E41" w:rsidRPr="0047403B" w14:paraId="79BFEADA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CD9AE" w14:textId="77777777" w:rsidR="00DA6E41" w:rsidRPr="0047403B" w:rsidRDefault="00DA6E41" w:rsidP="0029439B">
            <w:r w:rsidRPr="0047403B">
              <w:t>Chronic heart failure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7B3D1" w14:textId="77777777" w:rsidR="00DA6E41" w:rsidRPr="0047403B" w:rsidRDefault="00DA6E41" w:rsidP="0029439B">
            <w:r w:rsidRPr="0047403B">
              <w:t>I09.9, I25.5, I42.0, I42.5–I42.9, I43, I50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502A16F7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4746C1F3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1A754" w14:textId="77777777" w:rsidR="00DA6E41" w:rsidRPr="0047403B" w:rsidRDefault="00DA6E41" w:rsidP="0029439B">
            <w:r w:rsidRPr="0047403B">
              <w:lastRenderedPageBreak/>
              <w:t>Chronic kidney disease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D1E5B" w14:textId="77777777" w:rsidR="00DA6E41" w:rsidRPr="0047403B" w:rsidRDefault="00DA6E41" w:rsidP="0029439B">
            <w:r w:rsidRPr="0047403B">
              <w:t>N00-N23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0CA23E90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54F231E1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B647E" w14:textId="77777777" w:rsidR="00DA6E41" w:rsidRDefault="00DA6E41" w:rsidP="0029439B">
            <w:r w:rsidRPr="0047403B">
              <w:t>Chronic pain</w:t>
            </w:r>
            <w:r>
              <w:t xml:space="preserve"> </w:t>
            </w:r>
          </w:p>
          <w:p w14:paraId="7E9AE7BF" w14:textId="77777777" w:rsidR="00DA6E41" w:rsidRPr="0047403B" w:rsidRDefault="00DA6E41" w:rsidP="0029439B">
            <w:r>
              <w:t>(2 hospitalisations)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99083" w14:textId="77777777" w:rsidR="00DA6E41" w:rsidRPr="0047403B" w:rsidRDefault="00DA6E41" w:rsidP="0029439B">
            <w:r w:rsidRPr="0047403B">
              <w:t>F45.4, M08.1, M25.50, M25.51, M25.55 - M25.57, M43.2 - M43.6, M45, M46.1, M46.3, M46.4, M46.9, M47, M48.0, M48.1, M48.8, M48.9, M50.8, M50.9, M51, M53.1 - M53.3, M53.8, M53.9, M54, M60.8, M60.9, M63.3, M79.0 - M79.2, M79.6, M79.7, M96.1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4E9B5D9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1AEACCDD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05BBA" w14:textId="77777777" w:rsidR="00DA6E41" w:rsidRPr="0047403B" w:rsidRDefault="00DA6E41" w:rsidP="0029439B">
            <w:r w:rsidRPr="0047403B">
              <w:t>Chronic pulmonary disease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BEA59" w14:textId="77777777" w:rsidR="00DA6E41" w:rsidRPr="0047403B" w:rsidRDefault="00DA6E41" w:rsidP="0029439B">
            <w:r w:rsidRPr="0047403B">
              <w:t>I27.8, I27.9, J40–J44, J46-J47, J60–J67, J68.4, J70.1, J70.3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73DA5B3B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25F1181E" w14:textId="77777777" w:rsidTr="0029439B">
        <w:tc>
          <w:tcPr>
            <w:tcW w:w="960" w:type="pct"/>
            <w:vMerge w:val="restart"/>
            <w:tcBorders>
              <w:top w:val="single" w:sz="6" w:space="0" w:color="B0A8A3"/>
              <w:left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1F973" w14:textId="77777777" w:rsidR="00DA6E41" w:rsidRPr="0047403B" w:rsidRDefault="00DA6E41" w:rsidP="0029439B">
            <w:r w:rsidRPr="0047403B">
              <w:t>Chronic viral hepatitis B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B8F55" w14:textId="77777777" w:rsidR="00DA6E41" w:rsidRPr="0047403B" w:rsidRDefault="00DA6E41" w:rsidP="0029439B">
            <w:r w:rsidRPr="0047403B">
              <w:t>B16, B18.0-B18.1</w:t>
            </w:r>
            <w:r>
              <w:t xml:space="preserve"> (2 hospitalisations)</w:t>
            </w:r>
          </w:p>
        </w:tc>
        <w:tc>
          <w:tcPr>
            <w:tcW w:w="3081" w:type="pct"/>
            <w:vMerge w:val="restart"/>
            <w:tcBorders>
              <w:top w:val="single" w:sz="6" w:space="0" w:color="B0A8A3"/>
              <w:left w:val="single" w:sz="6" w:space="0" w:color="B0A8A3"/>
              <w:right w:val="single" w:sz="6" w:space="0" w:color="B0A8A3"/>
            </w:tcBorders>
            <w:shd w:val="clear" w:color="auto" w:fill="FFFFFF"/>
          </w:tcPr>
          <w:p w14:paraId="1D06B8ED" w14:textId="77777777" w:rsidR="00DA6E41" w:rsidRPr="0047403B" w:rsidRDefault="00DA6E41" w:rsidP="0029439B">
            <w:r>
              <w:t>No (but, “Abnormal liver function tests (in the absence of an underlying cause)”)</w:t>
            </w:r>
          </w:p>
        </w:tc>
      </w:tr>
      <w:tr w:rsidR="00DA6E41" w:rsidRPr="0047403B" w14:paraId="0EE612C7" w14:textId="77777777" w:rsidTr="0029439B">
        <w:tc>
          <w:tcPr>
            <w:tcW w:w="960" w:type="pct"/>
            <w:vMerge/>
            <w:tcBorders>
              <w:left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6FD55" w14:textId="77777777" w:rsidR="00DA6E41" w:rsidRPr="0047403B" w:rsidRDefault="00DA6E41" w:rsidP="0029439B"/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175D4" w14:textId="77777777" w:rsidR="00DA6E41" w:rsidRPr="0047403B" w:rsidRDefault="00DA6E41" w:rsidP="0029439B">
            <w:r w:rsidRPr="0047403B">
              <w:t>K70.3, K74.3, K74.4, K74.5, K74.6</w:t>
            </w:r>
            <w:r>
              <w:t xml:space="preserve"> (1 hospitalisation)</w:t>
            </w:r>
          </w:p>
        </w:tc>
        <w:tc>
          <w:tcPr>
            <w:tcW w:w="3081" w:type="pct"/>
            <w:vMerge/>
            <w:tcBorders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1A321897" w14:textId="77777777" w:rsidR="00DA6E41" w:rsidRPr="0047403B" w:rsidRDefault="00DA6E41" w:rsidP="0029439B"/>
        </w:tc>
      </w:tr>
      <w:tr w:rsidR="00DA6E41" w:rsidRPr="0047403B" w14:paraId="4042ECD4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B1F6E" w14:textId="77777777" w:rsidR="00DA6E41" w:rsidRDefault="00DA6E41" w:rsidP="0029439B">
            <w:r>
              <w:lastRenderedPageBreak/>
              <w:t>Cirrhosis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18F36" w14:textId="77777777" w:rsidR="00DA6E41" w:rsidRPr="0047403B" w:rsidRDefault="00DA6E41" w:rsidP="0029439B">
            <w:r w:rsidRPr="0047403B">
              <w:t>I85.0, I85.9, I98.2, I98.3, K65.0, K65.8, K65.9, K67.0, K67.1, K67.2, K67.3, K67.8, K76.7, K93.0, R18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1BFFD2B3" w14:textId="77777777" w:rsidR="00DA6E41" w:rsidRDefault="00DA6E41" w:rsidP="0029439B">
            <w:r>
              <w:t>No (but, “Abnormal liver function tests (in the absence of an underlying cause)”)</w:t>
            </w:r>
          </w:p>
        </w:tc>
      </w:tr>
      <w:tr w:rsidR="00DA6E41" w:rsidRPr="0047403B" w14:paraId="2AE2707F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445A6" w14:textId="77777777" w:rsidR="00DA6E41" w:rsidRPr="0047403B" w:rsidRDefault="00DA6E41" w:rsidP="0029439B">
            <w:r>
              <w:t>Dementia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0D9D5" w14:textId="77777777" w:rsidR="00DA6E41" w:rsidRPr="0047403B" w:rsidRDefault="00DA6E41" w:rsidP="0029439B">
            <w:r w:rsidRPr="0047403B">
              <w:t>F00–F03, F05.1, G30, G31.1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0F6182C5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4D010D22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028311" w14:textId="77777777" w:rsidR="00DA6E41" w:rsidRPr="0047403B" w:rsidRDefault="00DA6E41" w:rsidP="0029439B">
            <w:r>
              <w:t>Depression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AEF3B" w14:textId="77777777" w:rsidR="00DA6E41" w:rsidRPr="0047403B" w:rsidRDefault="00DA6E41" w:rsidP="0029439B">
            <w:r w:rsidRPr="0047403B">
              <w:t>F20.4, F31.3–F31.5, F32, F33, F34.1, F41.2, F43.2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7C686BEB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124F316C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61A772" w14:textId="77777777" w:rsidR="00DA6E41" w:rsidRPr="0047403B" w:rsidRDefault="00DA6E41" w:rsidP="0029439B">
            <w:r w:rsidRPr="0047403B">
              <w:t>Diabetes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18EF1" w14:textId="77777777" w:rsidR="00DA6E41" w:rsidRPr="0047403B" w:rsidRDefault="00DA6E41" w:rsidP="0029439B">
            <w:r w:rsidRPr="0047403B">
              <w:t>E10-E14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7EB574CF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40D048AE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7B868" w14:textId="77777777" w:rsidR="00DA6E41" w:rsidRPr="0047403B" w:rsidRDefault="00DA6E41" w:rsidP="0029439B">
            <w:r w:rsidRPr="0047403B">
              <w:t>Epilepsy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A1BCA" w14:textId="77777777" w:rsidR="00DA6E41" w:rsidRPr="0047403B" w:rsidRDefault="00DA6E41" w:rsidP="0029439B">
            <w:r w:rsidRPr="0047403B">
              <w:t>G40-G41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3B68DC18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526762B2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10B63" w14:textId="77777777" w:rsidR="00DA6E41" w:rsidRPr="0047403B" w:rsidRDefault="00DA6E41" w:rsidP="0029439B">
            <w:r>
              <w:t>Hypertension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E9614" w14:textId="77777777" w:rsidR="00DA6E41" w:rsidRPr="0047403B" w:rsidRDefault="00DA6E41" w:rsidP="0029439B">
            <w:r w:rsidRPr="0047403B">
              <w:t>I10-I13, I15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4F0512F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679FC764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4232B5" w14:textId="77777777" w:rsidR="00DA6E41" w:rsidRPr="0047403B" w:rsidRDefault="00DA6E41" w:rsidP="0029439B">
            <w:r w:rsidRPr="0047403B">
              <w:t>Hypothyroidism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0471B" w14:textId="77777777" w:rsidR="00DA6E41" w:rsidRPr="0047403B" w:rsidRDefault="00DA6E41" w:rsidP="0029439B">
            <w:r w:rsidRPr="0047403B">
              <w:t>E00–E03, E89.0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08D4D298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0FC8AB2D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12DAD" w14:textId="77777777" w:rsidR="00DA6E41" w:rsidRPr="0047403B" w:rsidRDefault="00DA6E41" w:rsidP="0029439B">
            <w:r w:rsidRPr="0047403B">
              <w:t>Inflammatory bowel disease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24AB2" w14:textId="77777777" w:rsidR="00DA6E41" w:rsidRPr="0047403B" w:rsidRDefault="00DA6E41" w:rsidP="0029439B">
            <w:r w:rsidRPr="0047403B">
              <w:t>K50, K51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1B686A74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451170BB" w14:textId="77777777" w:rsidTr="0029439B">
        <w:tc>
          <w:tcPr>
            <w:tcW w:w="960" w:type="pct"/>
            <w:vMerge w:val="restar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B9852" w14:textId="77777777" w:rsidR="00DA6E41" w:rsidRDefault="00DA6E41" w:rsidP="0029439B">
            <w:r w:rsidRPr="0047403B">
              <w:t>Irritable bowel syndrome</w:t>
            </w:r>
          </w:p>
          <w:p w14:paraId="74EF3364" w14:textId="77777777" w:rsidR="00DA6E41" w:rsidRPr="0047403B" w:rsidRDefault="00DA6E41" w:rsidP="0029439B">
            <w:r>
              <w:t>(2 hospitalisations)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3669C" w14:textId="77777777" w:rsidR="00DA6E41" w:rsidRPr="0047403B" w:rsidRDefault="00DA6E41" w:rsidP="0029439B">
            <w:r w:rsidRPr="0047403B">
              <w:t>K58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0CD43C14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3CDDE7D0" w14:textId="77777777" w:rsidTr="0029439B">
        <w:tc>
          <w:tcPr>
            <w:tcW w:w="960" w:type="pct"/>
            <w:vMerge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vAlign w:val="center"/>
            <w:hideMark/>
          </w:tcPr>
          <w:p w14:paraId="491E88E1" w14:textId="77777777" w:rsidR="00DA6E41" w:rsidRPr="0047403B" w:rsidRDefault="00DA6E41" w:rsidP="0029439B"/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5FC80" w14:textId="77777777" w:rsidR="00DA6E41" w:rsidRPr="0047403B" w:rsidRDefault="00DA6E41" w:rsidP="0029439B">
            <w:r w:rsidRPr="0047403B">
              <w:t xml:space="preserve">Exclude C18-C21, C25, C56, C78.5, C79.6, D01.7, D01.9, D37.1-D37.5, K50-K51, K70.2-K70.3, K74.0, K74.2, K74.6, </w:t>
            </w:r>
            <w:r w:rsidRPr="0047403B">
              <w:lastRenderedPageBreak/>
              <w:t>K86.0-K86.1, K90, K91.2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50648F65" w14:textId="77777777" w:rsidR="00DA6E41" w:rsidRPr="0047403B" w:rsidRDefault="00DA6E41" w:rsidP="0029439B"/>
        </w:tc>
      </w:tr>
      <w:tr w:rsidR="00DA6E41" w:rsidRPr="0047403B" w14:paraId="68088A6B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2F367" w14:textId="77777777" w:rsidR="00DA6E41" w:rsidRDefault="00DA6E41" w:rsidP="0029439B">
            <w:r w:rsidRPr="0047403B">
              <w:t>Multiple sclerosis</w:t>
            </w:r>
          </w:p>
          <w:p w14:paraId="7A106BEA" w14:textId="77777777" w:rsidR="00DA6E41" w:rsidRPr="0047403B" w:rsidRDefault="00DA6E41" w:rsidP="0029439B">
            <w:r>
              <w:t>(2 hospitalisations)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8E45F" w14:textId="77777777" w:rsidR="00DA6E41" w:rsidRPr="0047403B" w:rsidRDefault="00DA6E41" w:rsidP="0029439B">
            <w:r w:rsidRPr="0047403B">
              <w:t>G35, G36, G37, H46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672DEDCC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40840806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30683" w14:textId="77777777" w:rsidR="00DA6E41" w:rsidRPr="0047403B" w:rsidRDefault="00DA6E41" w:rsidP="0029439B">
            <w:r w:rsidRPr="0047403B">
              <w:t>Myocardial infarction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D88B0" w14:textId="77777777" w:rsidR="00DA6E41" w:rsidRPr="0047403B" w:rsidRDefault="00DA6E41" w:rsidP="0029439B">
            <w:r w:rsidRPr="0047403B">
              <w:t>I21-I22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6F418B25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238BF07E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49224" w14:textId="77777777" w:rsidR="00DA6E41" w:rsidRPr="0047403B" w:rsidRDefault="00DA6E41" w:rsidP="0029439B">
            <w:r w:rsidRPr="0047403B">
              <w:t>Parkinson’s disease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73F41" w14:textId="77777777" w:rsidR="00DA6E41" w:rsidRPr="0047403B" w:rsidRDefault="00DA6E41" w:rsidP="0029439B">
            <w:r w:rsidRPr="0047403B">
              <w:t>G20, G21, G22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FA261BA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43BA4358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5D608" w14:textId="77777777" w:rsidR="00DA6E41" w:rsidRPr="0047403B" w:rsidRDefault="00DA6E41" w:rsidP="0029439B">
            <w:r w:rsidRPr="0047403B">
              <w:t>Peptic ulcer disease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0DCF3" w14:textId="77777777" w:rsidR="00DA6E41" w:rsidRPr="0047403B" w:rsidRDefault="00DA6E41" w:rsidP="0029439B">
            <w:r w:rsidRPr="0047403B">
              <w:t>K25.7, K25.9, K26.7, K26.9, K27.7, K27.9, K28.7, K28.9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606953A1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447041CD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66A79" w14:textId="77777777" w:rsidR="00DA6E41" w:rsidRPr="0047403B" w:rsidRDefault="00DA6E41" w:rsidP="0029439B">
            <w:r w:rsidRPr="0047403B">
              <w:t>Peripheral vascular disease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1F8631" w14:textId="77777777" w:rsidR="00DA6E41" w:rsidRPr="0047403B" w:rsidRDefault="00DA6E41" w:rsidP="0029439B">
            <w:r w:rsidRPr="0047403B">
              <w:t>I70.2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546BBE4C" w14:textId="77777777" w:rsidR="00DA6E41" w:rsidRPr="0047403B" w:rsidRDefault="00DA6E41" w:rsidP="0029439B">
            <w:r>
              <w:t xml:space="preserve">No </w:t>
            </w:r>
          </w:p>
        </w:tc>
      </w:tr>
      <w:tr w:rsidR="00DA6E41" w:rsidRPr="0047403B" w14:paraId="02684967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935AF" w14:textId="77777777" w:rsidR="00DA6E41" w:rsidRPr="0047403B" w:rsidRDefault="00DA6E41" w:rsidP="0029439B">
            <w:r w:rsidRPr="0047403B">
              <w:t>Psoriasis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D36BF" w14:textId="77777777" w:rsidR="00DA6E41" w:rsidRPr="0047403B" w:rsidRDefault="00DA6E41" w:rsidP="0029439B">
            <w:r w:rsidRPr="0047403B">
              <w:t>L40.0 - L40.4, L40.8, L40.9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919EB64" w14:textId="77777777" w:rsidR="00DA6E41" w:rsidRPr="0047403B" w:rsidRDefault="00DA6E41" w:rsidP="0029439B">
            <w:r>
              <w:t>No</w:t>
            </w:r>
          </w:p>
        </w:tc>
      </w:tr>
      <w:tr w:rsidR="00DA6E41" w:rsidRPr="0047403B" w14:paraId="48C1A1CE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4A15F" w14:textId="77777777" w:rsidR="00DA6E41" w:rsidRPr="0047403B" w:rsidRDefault="00DA6E41" w:rsidP="0029439B">
            <w:r w:rsidRPr="0047403B">
              <w:t>Rheumatoid arthritis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FB91D" w14:textId="77777777" w:rsidR="00DA6E41" w:rsidRPr="0047403B" w:rsidRDefault="00DA6E41" w:rsidP="0029439B">
            <w:r w:rsidRPr="0047403B">
              <w:t>M05, M06, M31.5, M32–M34, M35.1, M35.3, M36.0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1CAD8B31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1AA0ED88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92EDB" w14:textId="77777777" w:rsidR="00DA6E41" w:rsidRPr="0047403B" w:rsidRDefault="00DA6E41" w:rsidP="0029439B">
            <w:r>
              <w:t>Schizophrenia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76B4A" w14:textId="77777777" w:rsidR="00DA6E41" w:rsidRPr="0047403B" w:rsidRDefault="00DA6E41" w:rsidP="0029439B">
            <w:r w:rsidRPr="0047403B">
              <w:t>F20, F21, F23.2, F25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E1BC6A8" w14:textId="77777777" w:rsidR="00DA6E41" w:rsidRPr="0047403B" w:rsidRDefault="00DA6E41" w:rsidP="0029439B">
            <w:r>
              <w:t>Yes</w:t>
            </w:r>
          </w:p>
        </w:tc>
      </w:tr>
      <w:tr w:rsidR="00DA6E41" w:rsidRPr="0047403B" w14:paraId="0A0F7F99" w14:textId="77777777" w:rsidTr="0029439B">
        <w:trPr>
          <w:trHeight w:val="509"/>
        </w:trPr>
        <w:tc>
          <w:tcPr>
            <w:tcW w:w="960" w:type="pct"/>
            <w:vMerge w:val="restar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52D5C" w14:textId="77777777" w:rsidR="00DA6E41" w:rsidRPr="0047403B" w:rsidRDefault="00DA6E41" w:rsidP="0029439B">
            <w:r w:rsidRPr="0047403B">
              <w:t>Severe constipation</w:t>
            </w:r>
          </w:p>
        </w:tc>
        <w:tc>
          <w:tcPr>
            <w:tcW w:w="960" w:type="pct"/>
            <w:vMerge w:val="restar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9E9AD" w14:textId="77777777" w:rsidR="00DA6E41" w:rsidRPr="0047403B" w:rsidRDefault="00DA6E41" w:rsidP="0029439B">
            <w:r w:rsidRPr="0047403B">
              <w:t xml:space="preserve">K55.8, K56.0, K56.4, K56.7, K59.0, K63.1, K63.4, K63.81, </w:t>
            </w:r>
            <w:r w:rsidRPr="0047403B">
              <w:lastRenderedPageBreak/>
              <w:t>K63.88, K92.80, K92.88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1F368816" w14:textId="77777777" w:rsidR="00DA6E41" w:rsidRPr="0047403B" w:rsidRDefault="00DA6E41" w:rsidP="0029439B">
            <w:r>
              <w:lastRenderedPageBreak/>
              <w:t>No</w:t>
            </w:r>
          </w:p>
        </w:tc>
      </w:tr>
      <w:tr w:rsidR="00DA6E41" w:rsidRPr="0047403B" w14:paraId="4AD7F47C" w14:textId="77777777" w:rsidTr="0029439B">
        <w:trPr>
          <w:trHeight w:val="509"/>
        </w:trPr>
        <w:tc>
          <w:tcPr>
            <w:tcW w:w="960" w:type="pct"/>
            <w:vMerge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vAlign w:val="center"/>
            <w:hideMark/>
          </w:tcPr>
          <w:p w14:paraId="0F9ECEA0" w14:textId="77777777" w:rsidR="00DA6E41" w:rsidRPr="0047403B" w:rsidRDefault="00DA6E41" w:rsidP="0029439B"/>
        </w:tc>
        <w:tc>
          <w:tcPr>
            <w:tcW w:w="960" w:type="pct"/>
            <w:vMerge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vAlign w:val="center"/>
            <w:hideMark/>
          </w:tcPr>
          <w:p w14:paraId="5A6992E3" w14:textId="77777777" w:rsidR="00DA6E41" w:rsidRPr="0047403B" w:rsidRDefault="00DA6E41" w:rsidP="0029439B"/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1F34E23D" w14:textId="77777777" w:rsidR="00DA6E41" w:rsidRPr="0047403B" w:rsidRDefault="00DA6E41" w:rsidP="0029439B"/>
        </w:tc>
      </w:tr>
      <w:tr w:rsidR="00DA6E41" w:rsidRPr="0047403B" w14:paraId="669921CB" w14:textId="77777777" w:rsidTr="0029439B">
        <w:tc>
          <w:tcPr>
            <w:tcW w:w="960" w:type="pct"/>
            <w:vMerge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vAlign w:val="center"/>
            <w:hideMark/>
          </w:tcPr>
          <w:p w14:paraId="59CB06F9" w14:textId="77777777" w:rsidR="00DA6E41" w:rsidRPr="0047403B" w:rsidRDefault="00DA6E41" w:rsidP="0029439B"/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754B3" w14:textId="77777777" w:rsidR="00DA6E41" w:rsidRPr="0047403B" w:rsidRDefault="00DA6E41" w:rsidP="0029439B">
            <w:r w:rsidRPr="0047403B">
              <w:t>Exclude C17-C21, C45.1, C48, C51-C58, C60-C68, C78.5-C78.6, D01.7, D01.9, D37.1-D37.5, K50-K51, K66.0, N73.6, N99.4 (K56.6 if R10.1), and any CCPx surgery</w:t>
            </w:r>
            <w:r>
              <w:t xml:space="preserve"> </w:t>
            </w:r>
            <w:r w:rsidRPr="0047403B">
              <w:t>listed in claims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4BD9337D" w14:textId="77777777" w:rsidR="00DA6E41" w:rsidRPr="0047403B" w:rsidRDefault="00DA6E41" w:rsidP="0029439B"/>
        </w:tc>
      </w:tr>
      <w:tr w:rsidR="00DA6E41" w:rsidRPr="0047403B" w14:paraId="10306042" w14:textId="77777777" w:rsidTr="0029439B"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24B5B" w14:textId="77777777" w:rsidR="00DA6E41" w:rsidRPr="0047403B" w:rsidRDefault="00DA6E41" w:rsidP="0029439B">
            <w:r w:rsidRPr="0047403B">
              <w:t>Stroke or TIA</w:t>
            </w:r>
          </w:p>
        </w:tc>
        <w:tc>
          <w:tcPr>
            <w:tcW w:w="960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19709" w14:textId="77777777" w:rsidR="00DA6E41" w:rsidRPr="0047403B" w:rsidRDefault="00DA6E41" w:rsidP="0029439B">
            <w:r w:rsidRPr="0047403B">
              <w:t>G45.0-G45.3, G45.8-G45.9, H34.1, I60, I61, I63, I64</w:t>
            </w:r>
          </w:p>
        </w:tc>
        <w:tc>
          <w:tcPr>
            <w:tcW w:w="3081" w:type="pct"/>
            <w:tcBorders>
              <w:top w:val="single" w:sz="6" w:space="0" w:color="B0A8A3"/>
              <w:left w:val="single" w:sz="6" w:space="0" w:color="B0A8A3"/>
              <w:bottom w:val="single" w:sz="6" w:space="0" w:color="B0A8A3"/>
              <w:right w:val="single" w:sz="6" w:space="0" w:color="B0A8A3"/>
            </w:tcBorders>
            <w:shd w:val="clear" w:color="auto" w:fill="FFFFFF"/>
          </w:tcPr>
          <w:p w14:paraId="320BF7DB" w14:textId="77777777" w:rsidR="00DA6E41" w:rsidRPr="0047403B" w:rsidRDefault="00DA6E41" w:rsidP="0029439B">
            <w:r>
              <w:t>Yes</w:t>
            </w:r>
          </w:p>
        </w:tc>
      </w:tr>
    </w:tbl>
    <w:p w14:paraId="0FE76DCC" w14:textId="77777777" w:rsidR="00CD3C76" w:rsidRDefault="00CD3C76"/>
    <w:sectPr w:rsidR="00CD3C76" w:rsidSect="003900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41"/>
    <w:rsid w:val="000203DB"/>
    <w:rsid w:val="000F3C76"/>
    <w:rsid w:val="00182F8F"/>
    <w:rsid w:val="001C42A4"/>
    <w:rsid w:val="001E1B2C"/>
    <w:rsid w:val="0021699F"/>
    <w:rsid w:val="00226F9E"/>
    <w:rsid w:val="002612D9"/>
    <w:rsid w:val="002643BE"/>
    <w:rsid w:val="002A1769"/>
    <w:rsid w:val="002A1D61"/>
    <w:rsid w:val="00360B76"/>
    <w:rsid w:val="00370257"/>
    <w:rsid w:val="0039004A"/>
    <w:rsid w:val="003A14AD"/>
    <w:rsid w:val="003C64B1"/>
    <w:rsid w:val="003E2A7C"/>
    <w:rsid w:val="00411FC4"/>
    <w:rsid w:val="00437FC7"/>
    <w:rsid w:val="004A5E64"/>
    <w:rsid w:val="005E60F3"/>
    <w:rsid w:val="005F6098"/>
    <w:rsid w:val="006026D6"/>
    <w:rsid w:val="0066234A"/>
    <w:rsid w:val="00670851"/>
    <w:rsid w:val="0076555F"/>
    <w:rsid w:val="00793D82"/>
    <w:rsid w:val="00845285"/>
    <w:rsid w:val="00950853"/>
    <w:rsid w:val="009E15C1"/>
    <w:rsid w:val="009E517F"/>
    <w:rsid w:val="00A5427C"/>
    <w:rsid w:val="00A93E09"/>
    <w:rsid w:val="00AA6A62"/>
    <w:rsid w:val="00B76299"/>
    <w:rsid w:val="00B84F39"/>
    <w:rsid w:val="00B8581F"/>
    <w:rsid w:val="00BA2B1E"/>
    <w:rsid w:val="00C505E7"/>
    <w:rsid w:val="00C71B2A"/>
    <w:rsid w:val="00CD3AD3"/>
    <w:rsid w:val="00CD3C76"/>
    <w:rsid w:val="00D85749"/>
    <w:rsid w:val="00DA6E41"/>
    <w:rsid w:val="00DB06EE"/>
    <w:rsid w:val="00DB6F9E"/>
    <w:rsid w:val="00DE4C9D"/>
    <w:rsid w:val="00E55672"/>
    <w:rsid w:val="00EC2F7F"/>
    <w:rsid w:val="00F81D6C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1E4B8"/>
  <w15:chartTrackingRefBased/>
  <w15:docId w15:val="{B1FA8F8C-D5D1-8E47-9FBA-7E60401C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4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E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E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scic.kahootz.com/gf2.ti/f/762498/27838341.1/PDF/-/Coding_Clinic_032017_V6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Stokes</dc:creator>
  <cp:keywords/>
  <dc:description/>
  <cp:lastModifiedBy>Jonathan Stokes</cp:lastModifiedBy>
  <cp:revision>6</cp:revision>
  <dcterms:created xsi:type="dcterms:W3CDTF">2020-12-11T14:05:00Z</dcterms:created>
  <dcterms:modified xsi:type="dcterms:W3CDTF">2020-12-11T17:17:00Z</dcterms:modified>
</cp:coreProperties>
</file>