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FF80" w14:textId="1BF9770D" w:rsidR="00D459B1" w:rsidRDefault="00426D71">
      <w:pPr>
        <w:rPr>
          <w:rFonts w:ascii="Verdana" w:hAnsi="Verdana"/>
          <w:b/>
          <w:bCs/>
          <w:sz w:val="20"/>
          <w:szCs w:val="20"/>
        </w:rPr>
      </w:pPr>
      <w:r w:rsidRPr="00426D71">
        <w:rPr>
          <w:rFonts w:ascii="Verdana" w:hAnsi="Verdana"/>
          <w:b/>
          <w:bCs/>
          <w:sz w:val="20"/>
          <w:szCs w:val="20"/>
        </w:rPr>
        <w:t>S2 Text. Description of analytic dataset from Clinical Practice Research Datalink</w:t>
      </w:r>
    </w:p>
    <w:p w14:paraId="4C58F2F5" w14:textId="77777777" w:rsidR="00426D71" w:rsidRDefault="00426D71">
      <w:pPr>
        <w:rPr>
          <w:rFonts w:ascii="Verdana" w:hAnsi="Verdana"/>
          <w:b/>
          <w:bCs/>
          <w:sz w:val="20"/>
          <w:szCs w:val="20"/>
        </w:rPr>
      </w:pPr>
    </w:p>
    <w:p w14:paraId="22A3E0E9" w14:textId="094A6966" w:rsidR="00426D71" w:rsidRDefault="00426D71" w:rsidP="00426D71">
      <w:pPr>
        <w:jc w:val="both"/>
        <w:rPr>
          <w:rFonts w:ascii="Verdana" w:hAnsi="Verdana" w:cs="Arial"/>
          <w:sz w:val="20"/>
          <w:szCs w:val="20"/>
        </w:rPr>
      </w:pPr>
      <w:r w:rsidRPr="00314C15">
        <w:rPr>
          <w:rFonts w:ascii="Verdana" w:hAnsi="Verdana" w:cs="Arial"/>
          <w:sz w:val="20"/>
          <w:szCs w:val="20"/>
        </w:rPr>
        <w:t xml:space="preserve">The Clinical Practice Research Datalink (CPRD) is an ongoing primary care database of anonymised medical records from general practitioners, with coverage of over 11.3 million patients from 674 practices in the UK (England, Wales, Scotland, and Northern Ireland), with data collected from 1987 onwards. Patients are broadly representative of the UK general population in terms of age, sex and ethnicity </w:t>
      </w:r>
      <w:r w:rsidRPr="00314C15">
        <w:rPr>
          <w:rFonts w:ascii="Verdana" w:hAnsi="Verdana" w:cs="Arial"/>
          <w:sz w:val="20"/>
          <w:szCs w:val="20"/>
        </w:rPr>
        <w:fldChar w:fldCharType="begin">
          <w:fldData xml:space="preserve">PEVuZE5vdGU+PENpdGU+PEF1dGhvcj5IZXJyZXR0PC9BdXRob3I+PFllYXI+MjAxNTwvWWVhcj48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</w:fldData>
        </w:fldChar>
      </w:r>
      <w:r>
        <w:rPr>
          <w:rFonts w:ascii="Verdana" w:hAnsi="Verdana" w:cs="Arial"/>
          <w:sz w:val="20"/>
          <w:szCs w:val="20"/>
        </w:rPr>
        <w:instrText xml:space="preserve"> ADDIN EN.CITE </w:instrText>
      </w:r>
      <w:r>
        <w:rPr>
          <w:rFonts w:ascii="Verdana" w:hAnsi="Verdana" w:cs="Arial"/>
          <w:sz w:val="20"/>
          <w:szCs w:val="20"/>
        </w:rPr>
        <w:fldChar w:fldCharType="begin">
          <w:fldData xml:space="preserve">PEVuZE5vdGU+PENpdGU+PEF1dGhvcj5IZXJyZXR0PC9BdXRob3I+PFllYXI+MjAxNTwvWWVhcj48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</w:fldData>
        </w:fldChar>
      </w:r>
      <w:r>
        <w:rPr>
          <w:rFonts w:ascii="Verdana" w:hAnsi="Verdana" w:cs="Arial"/>
          <w:sz w:val="20"/>
          <w:szCs w:val="20"/>
        </w:rPr>
        <w:instrText xml:space="preserve"> ADDIN EN.CITE.DATA </w:instrText>
      </w:r>
      <w:r>
        <w:rPr>
          <w:rFonts w:ascii="Verdana" w:hAnsi="Verdana" w:cs="Arial"/>
          <w:sz w:val="20"/>
          <w:szCs w:val="20"/>
        </w:rPr>
      </w:r>
      <w:r>
        <w:rPr>
          <w:rFonts w:ascii="Verdana" w:hAnsi="Verdana" w:cs="Arial"/>
          <w:sz w:val="20"/>
          <w:szCs w:val="20"/>
        </w:rPr>
        <w:fldChar w:fldCharType="end"/>
      </w:r>
      <w:r w:rsidRPr="00314C15">
        <w:rPr>
          <w:rFonts w:ascii="Verdana" w:hAnsi="Verdana" w:cs="Arial"/>
          <w:sz w:val="20"/>
          <w:szCs w:val="20"/>
        </w:rPr>
      </w:r>
      <w:r w:rsidRPr="00314C15">
        <w:rPr>
          <w:rFonts w:ascii="Verdana" w:hAnsi="Verdana" w:cs="Arial"/>
          <w:sz w:val="20"/>
          <w:szCs w:val="20"/>
        </w:rPr>
        <w:fldChar w:fldCharType="separate"/>
      </w:r>
      <w:r>
        <w:rPr>
          <w:rFonts w:ascii="Verdana" w:hAnsi="Verdana" w:cs="Arial"/>
          <w:noProof/>
          <w:sz w:val="20"/>
          <w:szCs w:val="20"/>
        </w:rPr>
        <w:t>[1]</w:t>
      </w:r>
      <w:r w:rsidRPr="00314C15">
        <w:rPr>
          <w:rFonts w:ascii="Verdana" w:hAnsi="Verdana" w:cs="Arial"/>
          <w:sz w:val="20"/>
          <w:szCs w:val="20"/>
        </w:rPr>
        <w:fldChar w:fldCharType="end"/>
      </w:r>
      <w:r w:rsidRPr="00314C15">
        <w:rPr>
          <w:rFonts w:ascii="Verdana" w:hAnsi="Verdana" w:cs="Arial"/>
          <w:sz w:val="20"/>
          <w:szCs w:val="20"/>
        </w:rPr>
        <w:t>. A subset of English practices (currently 75%, representing 58% of all UK CPRD practices) have consented to participate in the CPRD linkage scheme and have provided patient-level information. Patient-level data from consenting practices are linked via a trusted third party to other existing data sources, including HES and Office for National Statistics (ONS). Records on about 2.1 million patients were used in the present analysis</w:t>
      </w:r>
      <w:r w:rsidR="009A6768">
        <w:rPr>
          <w:rFonts w:ascii="Verdana" w:hAnsi="Verdana" w:cs="Arial"/>
          <w:sz w:val="20"/>
          <w:szCs w:val="20"/>
        </w:rPr>
        <w:t xml:space="preserve"> (</w:t>
      </w:r>
      <w:r w:rsidR="009A6768" w:rsidRPr="009A6768">
        <w:rPr>
          <w:rFonts w:ascii="Verdana" w:hAnsi="Verdana" w:cs="Arial"/>
          <w:b/>
          <w:sz w:val="20"/>
          <w:szCs w:val="20"/>
        </w:rPr>
        <w:t>Fig A</w:t>
      </w:r>
      <w:r w:rsidR="009A6768">
        <w:rPr>
          <w:rFonts w:ascii="Verdana" w:hAnsi="Verdana" w:cs="Arial"/>
          <w:sz w:val="20"/>
          <w:szCs w:val="20"/>
        </w:rPr>
        <w:t>)</w:t>
      </w:r>
      <w:r w:rsidRPr="00314C15">
        <w:rPr>
          <w:rFonts w:ascii="Verdana" w:hAnsi="Verdana" w:cs="Arial"/>
          <w:sz w:val="20"/>
          <w:szCs w:val="20"/>
        </w:rPr>
        <w:t xml:space="preserve">. </w:t>
      </w:r>
    </w:p>
    <w:p w14:paraId="03F81E6B" w14:textId="77777777" w:rsidR="00426D71" w:rsidRPr="00314C15" w:rsidRDefault="00426D71" w:rsidP="00426D71">
      <w:pPr>
        <w:jc w:val="both"/>
        <w:rPr>
          <w:rFonts w:ascii="Verdana" w:hAnsi="Verdana" w:cs="Arial"/>
          <w:sz w:val="20"/>
          <w:szCs w:val="20"/>
        </w:rPr>
      </w:pPr>
    </w:p>
    <w:p w14:paraId="60B3A531" w14:textId="77777777" w:rsidR="00426D71" w:rsidRPr="00314C15" w:rsidRDefault="00426D71" w:rsidP="00426D71">
      <w:pPr>
        <w:jc w:val="both"/>
        <w:rPr>
          <w:rFonts w:ascii="Verdana" w:hAnsi="Verdana" w:cs="Arial"/>
          <w:b/>
          <w:sz w:val="20"/>
          <w:szCs w:val="20"/>
        </w:rPr>
      </w:pPr>
      <w:r w:rsidRPr="00314C15">
        <w:rPr>
          <w:rFonts w:ascii="Verdana" w:hAnsi="Verdana" w:cs="Arial"/>
          <w:b/>
          <w:sz w:val="20"/>
          <w:szCs w:val="20"/>
        </w:rPr>
        <w:t>Disease and exposure definitions</w:t>
      </w:r>
    </w:p>
    <w:p w14:paraId="66D53D16" w14:textId="2AC42341" w:rsidR="00426D71" w:rsidRPr="00314C15" w:rsidRDefault="00426D71" w:rsidP="00426D71">
      <w:pPr>
        <w:jc w:val="both"/>
        <w:rPr>
          <w:rFonts w:ascii="Verdana" w:hAnsi="Verdana" w:cs="Arial"/>
          <w:sz w:val="20"/>
          <w:szCs w:val="20"/>
        </w:rPr>
      </w:pPr>
      <w:r w:rsidRPr="00314C15">
        <w:rPr>
          <w:rFonts w:ascii="Verdana" w:hAnsi="Verdana" w:cs="Arial"/>
          <w:sz w:val="20"/>
          <w:szCs w:val="20"/>
        </w:rPr>
        <w:t xml:space="preserve">CVD was defined by ICD-10 codes: I21-I25 (fatal and non-fatal events), and I60-69 (fatal and non-fatal). Non-fatal hospital inpatient admissions using these codes were flagged in HES. Fatal events were flagged using death certificate information (coded using ICD-10) in the ONS data. The primary care database in CPRD is coded using </w:t>
      </w:r>
      <w:proofErr w:type="spellStart"/>
      <w:r w:rsidRPr="00314C15">
        <w:rPr>
          <w:rFonts w:ascii="Verdana" w:hAnsi="Verdana" w:cs="Arial"/>
          <w:sz w:val="20"/>
          <w:szCs w:val="20"/>
        </w:rPr>
        <w:t>medcodes</w:t>
      </w:r>
      <w:proofErr w:type="spellEnd"/>
      <w:r w:rsidRPr="00314C15">
        <w:rPr>
          <w:rFonts w:ascii="Verdana" w:hAnsi="Verdana" w:cs="Arial"/>
          <w:sz w:val="20"/>
          <w:szCs w:val="20"/>
        </w:rPr>
        <w:t xml:space="preserve"> (a CPRD-unique classification system), which are directly mapped to Read version 3 (CTV3) codes. Mapping of ICD-10 CVD codes to CTV3 codes was done using the NHS Digital TRUD Data Migration Toolkit </w:t>
      </w:r>
      <w:r w:rsidRPr="00314C15">
        <w:rPr>
          <w:rFonts w:ascii="Verdana" w:hAnsi="Verdana" w:cs="Arial"/>
          <w:sz w:val="20"/>
          <w:szCs w:val="20"/>
        </w:rPr>
        <w:fldChar w:fldCharType="begin"/>
      </w:r>
      <w:r>
        <w:rPr>
          <w:rFonts w:ascii="Verdana" w:hAnsi="Verdana" w:cs="Arial"/>
          <w:sz w:val="20"/>
          <w:szCs w:val="20"/>
        </w:rPr>
        <w:instrText xml:space="preserve"> ADDIN EN.CITE &lt;EndNote&gt;&lt;Cite&gt;&lt;Author&gt;National Health Service (NHS)&lt;/Author&gt;&lt;RecNum&gt;119&lt;/RecNum&gt;&lt;DisplayText&gt;[2]&lt;/DisplayText&gt;&lt;record&gt;&lt;rec-number&gt;119&lt;/rec-number&gt;&lt;foreign-keys&gt;&lt;key app="EN" db-id="2za9xxztv0w0toepvzo595vxadavdaa29vew" timestamp="1562254906"&gt;119&lt;/key&gt;&lt;/foreign-keys&gt;&lt;ref-type name="Web Page"&gt;12&lt;/ref-type&gt;&lt;contributors&gt;&lt;authors&gt;&lt;author&gt;National Health Service (NHS),&lt;/author&gt;&lt;/authors&gt;&lt;/contributors&gt;&lt;titles&gt;&lt;title&gt;NHS Digital TRUD (2019)&lt;/title&gt;&lt;/titles&gt;&lt;number&gt;26 June, 2019&lt;/number&gt;&lt;dates&gt;&lt;/dates&gt;&lt;pub-location&gt;&lt;style face="underline" font="default" size="100%"&gt;https://isd.digital.nhs.uk/trud3/user/guest/group/0/pack/9/subpack/9/releases&lt;/style&gt;&lt;/pub-location&gt;&lt;urls&gt;&lt;related-urls&gt;&lt;url&gt;&lt;style face="underline" font="default" size="100%"&gt;https://isd.digital.nhs.uk/trud3/user/guest/group/0/pack/9/subpack/9/releases&lt;/style&gt;&lt;/url&gt;&lt;/related-urls&gt;&lt;/urls&gt;&lt;/record&gt;&lt;/Cite&gt;&lt;/EndNote&gt;</w:instrText>
      </w:r>
      <w:r w:rsidRPr="00314C15">
        <w:rPr>
          <w:rFonts w:ascii="Verdana" w:hAnsi="Verdana" w:cs="Arial"/>
          <w:sz w:val="20"/>
          <w:szCs w:val="20"/>
        </w:rPr>
        <w:fldChar w:fldCharType="separate"/>
      </w:r>
      <w:r>
        <w:rPr>
          <w:rFonts w:ascii="Verdana" w:hAnsi="Verdana" w:cs="Arial"/>
          <w:noProof/>
          <w:sz w:val="20"/>
          <w:szCs w:val="20"/>
        </w:rPr>
        <w:t>[2]</w:t>
      </w:r>
      <w:r w:rsidRPr="00314C15">
        <w:rPr>
          <w:rFonts w:ascii="Verdana" w:hAnsi="Verdana" w:cs="Arial"/>
          <w:sz w:val="20"/>
          <w:szCs w:val="20"/>
        </w:rPr>
        <w:fldChar w:fldCharType="end"/>
      </w:r>
      <w:r w:rsidRPr="00314C15">
        <w:rPr>
          <w:rFonts w:ascii="Verdana" w:hAnsi="Verdana" w:cs="Arial"/>
          <w:sz w:val="20"/>
          <w:szCs w:val="20"/>
        </w:rPr>
        <w:t xml:space="preserve">; the complete list of CTV3 codes generated is available on request. An individual’s date of first CVD event was calculated as the earliest event flagged in any of the three sources of information. Current smokers were flagged using a code list previously reported </w:t>
      </w:r>
      <w:r w:rsidRPr="00314C15">
        <w:rPr>
          <w:rFonts w:ascii="Verdana" w:hAnsi="Verdana" w:cs="Arial"/>
          <w:sz w:val="20"/>
          <w:szCs w:val="20"/>
        </w:rPr>
        <w:fldChar w:fldCharType="begin"/>
      </w:r>
      <w:r w:rsidR="00C200B7">
        <w:rPr>
          <w:rFonts w:ascii="Verdana" w:hAnsi="Verdana" w:cs="Arial"/>
          <w:sz w:val="20"/>
          <w:szCs w:val="20"/>
        </w:rPr>
        <w:instrText xml:space="preserve"> ADDIN EN.CITE &lt;EndNote&gt;&lt;Cite&gt;&lt;Author&gt;Reeves&lt;/Author&gt;&lt;Year&gt;2014&lt;/Year&gt;&lt;RecNum&gt;120&lt;/RecNum&gt;&lt;DisplayText&gt;[3]&lt;/DisplayText&gt;&lt;record&gt;&lt;rec-number&gt;120&lt;/rec-number&gt;&lt;foreign-keys&gt;&lt;key app="EN" db-id="2za9xxztv0w0toepvzo595vxadavdaa29vew" timestamp="1562255061"&gt;120&lt;/key&gt;&lt;/foreign-keys&gt;&lt;ref-type name="Journal Article"&gt;17&lt;/ref-type&gt;&lt;contributors&gt;&lt;authors&gt;&lt;author&gt;Reeves, David&lt;/author&gt;&lt;author&gt;Springate, David A&lt;/author&gt;&lt;author&gt;Ashcroft, Darren M&lt;/author&gt;&lt;author&gt;Ryan, Ronan&lt;/author&gt;&lt;author&gt;Doran, Tim&lt;/author&gt;&lt;author&gt;Morris, Richard&lt;/author&gt;&lt;author&gt;Olier, Ivan&lt;/author&gt;&lt;author&gt;Kontopantelis, Evangelos&lt;/author&gt;&lt;/authors&gt;&lt;/contributors&gt;&lt;titles&gt;&lt;title&gt;Can analyses of electronic patient records be independently and externally validated? The effect of statins on the mortality of patients with ischaemic heart disease: a cohort study with nested case–control analysis&lt;/title&gt;&lt;secondary-title&gt;BMJ Open&lt;/secondary-title&gt;&lt;/titles&gt;&lt;periodical&gt;&lt;full-title&gt;BMJ Open&lt;/full-title&gt;&lt;/periodical&gt;&lt;pages&gt;e004952&lt;/pages&gt;&lt;volume&gt;4&lt;/volume&gt;&lt;number&gt;4&lt;/number&gt;&lt;dates&gt;&lt;year&gt;2014&lt;/year&gt;&lt;/dates&gt;&lt;accession-num&gt;24760353 &lt;/accession-num&gt;&lt;urls&gt;&lt;related-urls&gt;&lt;url&gt;https://bmjopen.bmj.com/content/bmjopen/4/4/e004952.full.pdf&lt;/url&gt;&lt;/related-urls&gt;&lt;/urls&gt;&lt;electronic-resource-num&gt;http://doi.org/10.1136/bmjopen-2014-004952&lt;/electronic-resource-num&gt;&lt;/record&gt;&lt;/Cite&gt;&lt;/EndNote&gt;</w:instrText>
      </w:r>
      <w:r w:rsidRPr="00314C15">
        <w:rPr>
          <w:rFonts w:ascii="Verdana" w:hAnsi="Verdana" w:cs="Arial"/>
          <w:sz w:val="20"/>
          <w:szCs w:val="20"/>
        </w:rPr>
        <w:fldChar w:fldCharType="separate"/>
      </w:r>
      <w:r>
        <w:rPr>
          <w:rFonts w:ascii="Verdana" w:hAnsi="Verdana" w:cs="Arial"/>
          <w:noProof/>
          <w:sz w:val="20"/>
          <w:szCs w:val="20"/>
        </w:rPr>
        <w:t>[3]</w:t>
      </w:r>
      <w:r w:rsidRPr="00314C15">
        <w:rPr>
          <w:rFonts w:ascii="Verdana" w:hAnsi="Verdana" w:cs="Arial"/>
          <w:sz w:val="20"/>
          <w:szCs w:val="20"/>
        </w:rPr>
        <w:fldChar w:fldCharType="end"/>
      </w:r>
      <w:r w:rsidRPr="00314C15">
        <w:rPr>
          <w:rFonts w:ascii="Verdana" w:hAnsi="Verdana" w:cs="Arial"/>
          <w:sz w:val="20"/>
          <w:szCs w:val="20"/>
        </w:rPr>
        <w:t xml:space="preserve">. Diabetes diagnoses were flagged by: prescriptions for anti-diabetic medications </w:t>
      </w:r>
      <w:r w:rsidRPr="00314C15">
        <w:rPr>
          <w:rFonts w:ascii="Verdana" w:hAnsi="Verdana" w:cs="Arial"/>
          <w:sz w:val="20"/>
          <w:szCs w:val="20"/>
        </w:rPr>
        <w:fldChar w:fldCharType="begin">
          <w:fldData xml:space="preserve">PEVuZE5vdGU+PENpdGU+PEF1dGhvcj5Lb250b3BhbnRlbGlzPC9BdXRob3I+PFllYXI+MjAxNTwv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PjwvYWx0LXBlcmlvZGljYWw+PHBhZ2VzPjUwNS0xODwvcGFnZXM+PHZvbHVtZT41ODwvdm9sdW1l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</w:fldData>
        </w:fldChar>
      </w:r>
      <w:r w:rsidR="00C200B7">
        <w:rPr>
          <w:rFonts w:ascii="Verdana" w:hAnsi="Verdana" w:cs="Arial"/>
          <w:sz w:val="20"/>
          <w:szCs w:val="20"/>
        </w:rPr>
        <w:instrText xml:space="preserve"> ADDIN EN.CITE </w:instrText>
      </w:r>
      <w:r w:rsidR="00C200B7">
        <w:rPr>
          <w:rFonts w:ascii="Verdana" w:hAnsi="Verdana" w:cs="Arial"/>
          <w:sz w:val="20"/>
          <w:szCs w:val="20"/>
        </w:rPr>
        <w:fldChar w:fldCharType="begin">
          <w:fldData xml:space="preserve">PEVuZE5vdGU+PENpdGU+PEF1dGhvcj5Lb250b3BhbnRlbGlzPC9BdXRob3I+PFllYXI+MjAxNTwv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PjwvYWx0LXBlcmlvZGljYWw+PHBhZ2VzPjUwNS0xODwvcGFnZXM+PHZvbHVtZT41ODwvdm9sdW1l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</w:fldData>
        </w:fldChar>
      </w:r>
      <w:r w:rsidR="00C200B7">
        <w:rPr>
          <w:rFonts w:ascii="Verdana" w:hAnsi="Verdana" w:cs="Arial"/>
          <w:sz w:val="20"/>
          <w:szCs w:val="20"/>
        </w:rPr>
        <w:instrText xml:space="preserve"> ADDIN EN.CITE.DATA </w:instrText>
      </w:r>
      <w:r w:rsidR="00C200B7">
        <w:rPr>
          <w:rFonts w:ascii="Verdana" w:hAnsi="Verdana" w:cs="Arial"/>
          <w:sz w:val="20"/>
          <w:szCs w:val="20"/>
        </w:rPr>
      </w:r>
      <w:r w:rsidR="00C200B7">
        <w:rPr>
          <w:rFonts w:ascii="Verdana" w:hAnsi="Verdana" w:cs="Arial"/>
          <w:sz w:val="20"/>
          <w:szCs w:val="20"/>
        </w:rPr>
        <w:fldChar w:fldCharType="end"/>
      </w:r>
      <w:r w:rsidRPr="00314C15">
        <w:rPr>
          <w:rFonts w:ascii="Verdana" w:hAnsi="Verdana" w:cs="Arial"/>
          <w:sz w:val="20"/>
          <w:szCs w:val="20"/>
        </w:rPr>
      </w:r>
      <w:r w:rsidRPr="00314C15">
        <w:rPr>
          <w:rFonts w:ascii="Verdana" w:hAnsi="Verdana" w:cs="Arial"/>
          <w:sz w:val="20"/>
          <w:szCs w:val="20"/>
        </w:rPr>
        <w:fldChar w:fldCharType="separate"/>
      </w:r>
      <w:r>
        <w:rPr>
          <w:rFonts w:ascii="Verdana" w:hAnsi="Verdana" w:cs="Arial"/>
          <w:noProof/>
          <w:sz w:val="20"/>
          <w:szCs w:val="20"/>
        </w:rPr>
        <w:t>[4]</w:t>
      </w:r>
      <w:r w:rsidRPr="00314C15">
        <w:rPr>
          <w:rFonts w:ascii="Verdana" w:hAnsi="Verdana" w:cs="Arial"/>
          <w:sz w:val="20"/>
          <w:szCs w:val="20"/>
        </w:rPr>
        <w:fldChar w:fldCharType="end"/>
      </w:r>
      <w:r w:rsidRPr="00314C15">
        <w:rPr>
          <w:rFonts w:ascii="Verdana" w:hAnsi="Verdana" w:cs="Arial"/>
          <w:sz w:val="20"/>
          <w:szCs w:val="20"/>
        </w:rPr>
        <w:t xml:space="preserve">; CTV3 codes indicating a diabetes diagnosis </w:t>
      </w:r>
      <w:r w:rsidRPr="00314C15">
        <w:rPr>
          <w:rFonts w:ascii="Verdana" w:hAnsi="Verdana" w:cs="Arial"/>
          <w:sz w:val="20"/>
          <w:szCs w:val="20"/>
        </w:rPr>
        <w:fldChar w:fldCharType="begin">
          <w:fldData xml:space="preserve">PEVuZE5vdGU+PENpdGU+PEF1dGhvcj5XcmlnaHQ8L0F1dGhvcj48WWVhcj4yMDE3PC9ZZWFyPjxS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ci0xPkRpYWJldGVzIGNhcmU8L2FiYnItMT48L2FsdC1wZXJpb2RpY2FsPjxwYWdlcz4zMzgtMzQ1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</w:fldData>
        </w:fldChar>
      </w:r>
      <w:r w:rsidR="00C200B7">
        <w:rPr>
          <w:rFonts w:ascii="Verdana" w:hAnsi="Verdana" w:cs="Arial"/>
          <w:sz w:val="20"/>
          <w:szCs w:val="20"/>
        </w:rPr>
        <w:instrText xml:space="preserve"> ADDIN EN.CITE </w:instrText>
      </w:r>
      <w:r w:rsidR="00C200B7">
        <w:rPr>
          <w:rFonts w:ascii="Verdana" w:hAnsi="Verdana" w:cs="Arial"/>
          <w:sz w:val="20"/>
          <w:szCs w:val="20"/>
        </w:rPr>
        <w:fldChar w:fldCharType="begin">
          <w:fldData xml:space="preserve">PEVuZE5vdGU+PENpdGU+PEF1dGhvcj5XcmlnaHQ8L0F1dGhvcj48WWVhcj4yMDE3PC9ZZWFyPjxS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ci0xPkRpYWJldGVzIGNhcmU8L2FiYnItMT48L2FsdC1wZXJpb2RpY2FsPjxwYWdlcz4zMzgtMzQ1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</w:fldData>
        </w:fldChar>
      </w:r>
      <w:r w:rsidR="00C200B7">
        <w:rPr>
          <w:rFonts w:ascii="Verdana" w:hAnsi="Verdana" w:cs="Arial"/>
          <w:sz w:val="20"/>
          <w:szCs w:val="20"/>
        </w:rPr>
        <w:instrText xml:space="preserve"> ADDIN EN.CITE.DATA </w:instrText>
      </w:r>
      <w:r w:rsidR="00C200B7">
        <w:rPr>
          <w:rFonts w:ascii="Verdana" w:hAnsi="Verdana" w:cs="Arial"/>
          <w:sz w:val="20"/>
          <w:szCs w:val="20"/>
        </w:rPr>
      </w:r>
      <w:r w:rsidR="00C200B7">
        <w:rPr>
          <w:rFonts w:ascii="Verdana" w:hAnsi="Verdana" w:cs="Arial"/>
          <w:sz w:val="20"/>
          <w:szCs w:val="20"/>
        </w:rPr>
        <w:fldChar w:fldCharType="end"/>
      </w:r>
      <w:r w:rsidRPr="00314C15">
        <w:rPr>
          <w:rFonts w:ascii="Verdana" w:hAnsi="Verdana" w:cs="Arial"/>
          <w:sz w:val="20"/>
          <w:szCs w:val="20"/>
        </w:rPr>
      </w:r>
      <w:r w:rsidRPr="00314C15">
        <w:rPr>
          <w:rFonts w:ascii="Verdana" w:hAnsi="Verdana" w:cs="Arial"/>
          <w:sz w:val="20"/>
          <w:szCs w:val="20"/>
        </w:rPr>
        <w:fldChar w:fldCharType="separate"/>
      </w:r>
      <w:r>
        <w:rPr>
          <w:rFonts w:ascii="Verdana" w:hAnsi="Verdana" w:cs="Arial"/>
          <w:noProof/>
          <w:sz w:val="20"/>
          <w:szCs w:val="20"/>
        </w:rPr>
        <w:t>[5]</w:t>
      </w:r>
      <w:r w:rsidRPr="00314C15">
        <w:rPr>
          <w:rFonts w:ascii="Verdana" w:hAnsi="Verdana" w:cs="Arial"/>
          <w:sz w:val="20"/>
          <w:szCs w:val="20"/>
        </w:rPr>
        <w:fldChar w:fldCharType="end"/>
      </w:r>
      <w:r w:rsidRPr="00314C15">
        <w:rPr>
          <w:rFonts w:ascii="Verdana" w:hAnsi="Verdana" w:cs="Arial"/>
          <w:sz w:val="20"/>
          <w:szCs w:val="20"/>
        </w:rPr>
        <w:t xml:space="preserve">; or ICD-10 codes in HES (E10-E14, G59.0, G63.2, H28.0, H36.0, Y42.3). Statin prescriptions were flagged according to a list of statin medications </w:t>
      </w:r>
      <w:r w:rsidRPr="00314C15">
        <w:rPr>
          <w:rFonts w:ascii="Verdana" w:hAnsi="Verdana" w:cs="Arial"/>
          <w:sz w:val="20"/>
          <w:szCs w:val="20"/>
        </w:rPr>
        <w:fldChar w:fldCharType="begin"/>
      </w:r>
      <w:r w:rsidR="00C200B7">
        <w:rPr>
          <w:rFonts w:ascii="Verdana" w:hAnsi="Verdana" w:cs="Arial"/>
          <w:sz w:val="20"/>
          <w:szCs w:val="20"/>
        </w:rPr>
        <w:instrText xml:space="preserve"> ADDIN EN.CITE &lt;EndNote&gt;&lt;Cite&gt;&lt;Author&gt;Reeves&lt;/Author&gt;&lt;Year&gt;2014&lt;/Year&gt;&lt;RecNum&gt;120&lt;/RecNum&gt;&lt;DisplayText&gt;[3]&lt;/DisplayText&gt;&lt;record&gt;&lt;rec-number&gt;120&lt;/rec-number&gt;&lt;foreign-keys&gt;&lt;key app="EN" db-id="2za9xxztv0w0toepvzo595vxadavdaa29vew" timestamp="1562255061"&gt;120&lt;/key&gt;&lt;/foreign-keys&gt;&lt;ref-type name="Journal Article"&gt;17&lt;/ref-type&gt;&lt;contributors&gt;&lt;authors&gt;&lt;author&gt;Reeves, David&lt;/author&gt;&lt;author&gt;Springate, David A&lt;/author&gt;&lt;author&gt;Ashcroft, Darren M&lt;/author&gt;&lt;author&gt;Ryan, Ronan&lt;/author&gt;&lt;author&gt;Doran, Tim&lt;/author&gt;&lt;author&gt;Morris, Richard&lt;/author&gt;&lt;author&gt;Olier, Ivan&lt;/author&gt;&lt;author&gt;Kontopantelis, Evangelos&lt;/author&gt;&lt;/authors&gt;&lt;/contributors&gt;&lt;titles&gt;&lt;title&gt;Can analyses of electronic patient records be independently and externally validated? The effect of statins on the mortality of patients with ischaemic heart disease: a cohort study with nested case–control analysis&lt;/title&gt;&lt;secondary-title&gt;BMJ Open&lt;/secondary-title&gt;&lt;/titles&gt;&lt;periodical&gt;&lt;full-title&gt;BMJ Open&lt;/full-title&gt;&lt;/periodical&gt;&lt;pages&gt;e004952&lt;/pages&gt;&lt;volume&gt;4&lt;/volume&gt;&lt;number&gt;4&lt;/number&gt;&lt;dates&gt;&lt;year&gt;2014&lt;/year&gt;&lt;/dates&gt;&lt;accession-num&gt;24760353 &lt;/accession-num&gt;&lt;urls&gt;&lt;related-urls&gt;&lt;url&gt;https://bmjopen.bmj.com/content/bmjopen/4/4/e004952.full.pdf&lt;/url&gt;&lt;/related-urls&gt;&lt;/urls&gt;&lt;electronic-resource-num&gt;http://doi.org/10.1136/bmjopen-2014-004952&lt;/electronic-resource-num&gt;&lt;/record&gt;&lt;/Cite&gt;&lt;/EndNote&gt;</w:instrText>
      </w:r>
      <w:r w:rsidRPr="00314C15">
        <w:rPr>
          <w:rFonts w:ascii="Verdana" w:hAnsi="Verdana" w:cs="Arial"/>
          <w:sz w:val="20"/>
          <w:szCs w:val="20"/>
        </w:rPr>
        <w:fldChar w:fldCharType="separate"/>
      </w:r>
      <w:r>
        <w:rPr>
          <w:rFonts w:ascii="Verdana" w:hAnsi="Verdana" w:cs="Arial"/>
          <w:noProof/>
          <w:sz w:val="20"/>
          <w:szCs w:val="20"/>
        </w:rPr>
        <w:t>[3]</w:t>
      </w:r>
      <w:r w:rsidRPr="00314C15">
        <w:rPr>
          <w:rFonts w:ascii="Verdana" w:hAnsi="Verdana" w:cs="Arial"/>
          <w:sz w:val="20"/>
          <w:szCs w:val="20"/>
        </w:rPr>
        <w:fldChar w:fldCharType="end"/>
      </w:r>
      <w:r w:rsidRPr="00314C15">
        <w:rPr>
          <w:rFonts w:ascii="Verdana" w:hAnsi="Verdana" w:cs="Arial"/>
          <w:sz w:val="20"/>
          <w:szCs w:val="20"/>
        </w:rPr>
        <w:t xml:space="preserve">. Full details of the code lists used are available on request.   </w:t>
      </w:r>
    </w:p>
    <w:p w14:paraId="1D95719A" w14:textId="77777777" w:rsidR="00426D71" w:rsidRPr="00314C15" w:rsidRDefault="00426D71" w:rsidP="00426D71">
      <w:pPr>
        <w:jc w:val="both"/>
        <w:rPr>
          <w:rFonts w:ascii="Verdana" w:hAnsi="Verdana" w:cs="Arial"/>
          <w:b/>
          <w:bCs/>
          <w:sz w:val="20"/>
        </w:rPr>
      </w:pPr>
    </w:p>
    <w:p w14:paraId="0933D70C" w14:textId="77777777" w:rsidR="00426D71" w:rsidRPr="00314C15" w:rsidRDefault="00426D71" w:rsidP="00426D71">
      <w:pPr>
        <w:jc w:val="both"/>
        <w:rPr>
          <w:rFonts w:ascii="Verdana" w:hAnsi="Verdana" w:cs="Arial"/>
          <w:b/>
          <w:bCs/>
          <w:sz w:val="20"/>
        </w:rPr>
      </w:pPr>
      <w:r w:rsidRPr="00314C15">
        <w:rPr>
          <w:rFonts w:ascii="Verdana" w:hAnsi="Verdana" w:cs="Arial"/>
          <w:b/>
          <w:bCs/>
          <w:sz w:val="20"/>
        </w:rPr>
        <w:t xml:space="preserve">Calculation of CVD incidence rates </w:t>
      </w:r>
    </w:p>
    <w:p w14:paraId="24CDA062" w14:textId="4525891B" w:rsidR="00426D71" w:rsidRDefault="00426D71" w:rsidP="00426D71">
      <w:pPr>
        <w:jc w:val="both"/>
        <w:rPr>
          <w:rFonts w:ascii="Verdana" w:hAnsi="Verdana" w:cs="Arial"/>
          <w:sz w:val="20"/>
          <w:szCs w:val="20"/>
        </w:rPr>
      </w:pPr>
      <w:r w:rsidRPr="00314C15">
        <w:rPr>
          <w:rFonts w:ascii="Verdana" w:hAnsi="Verdana" w:cs="Arial"/>
          <w:sz w:val="20"/>
          <w:szCs w:val="20"/>
        </w:rPr>
        <w:t>An individual’s date of entry into the CPRD cohort was defined as the latest of: 6 months after registration at GP practice contributing to CPRD; date of 30</w:t>
      </w:r>
      <w:r w:rsidRPr="00314C15">
        <w:rPr>
          <w:rFonts w:ascii="Verdana" w:hAnsi="Verdana" w:cs="Arial"/>
          <w:sz w:val="20"/>
          <w:szCs w:val="20"/>
          <w:vertAlign w:val="superscript"/>
        </w:rPr>
        <w:t>th</w:t>
      </w:r>
      <w:r w:rsidRPr="00314C15">
        <w:rPr>
          <w:rFonts w:ascii="Verdana" w:hAnsi="Verdana" w:cs="Arial"/>
          <w:sz w:val="20"/>
          <w:szCs w:val="20"/>
        </w:rPr>
        <w:t xml:space="preserve"> birthday; date GP practice data quality marked as “up to standard”; 1</w:t>
      </w:r>
      <w:r w:rsidRPr="00314C15">
        <w:rPr>
          <w:rFonts w:ascii="Verdana" w:hAnsi="Verdana" w:cs="Arial"/>
          <w:sz w:val="20"/>
          <w:szCs w:val="20"/>
          <w:vertAlign w:val="superscript"/>
        </w:rPr>
        <w:t>st</w:t>
      </w:r>
      <w:r w:rsidRPr="00314C15">
        <w:rPr>
          <w:rFonts w:ascii="Verdana" w:hAnsi="Verdana" w:cs="Arial"/>
          <w:sz w:val="20"/>
          <w:szCs w:val="20"/>
        </w:rPr>
        <w:t xml:space="preserve"> April 2004. The date of cohort exit was defined as the earliest of: date of de-registering at practice; date of last data upload from practice to CPRD; date of 95</w:t>
      </w:r>
      <w:r w:rsidRPr="00314C15">
        <w:rPr>
          <w:rFonts w:ascii="Verdana" w:hAnsi="Verdana" w:cs="Arial"/>
          <w:sz w:val="20"/>
          <w:szCs w:val="20"/>
          <w:vertAlign w:val="superscript"/>
        </w:rPr>
        <w:t>th</w:t>
      </w:r>
      <w:r w:rsidRPr="00314C15">
        <w:rPr>
          <w:rFonts w:ascii="Verdana" w:hAnsi="Verdana" w:cs="Arial"/>
          <w:sz w:val="20"/>
          <w:szCs w:val="20"/>
        </w:rPr>
        <w:t xml:space="preserve"> birthday; date of death; or 21</w:t>
      </w:r>
      <w:r w:rsidRPr="00314C15">
        <w:rPr>
          <w:rFonts w:ascii="Verdana" w:hAnsi="Verdana" w:cs="Arial"/>
          <w:sz w:val="20"/>
          <w:szCs w:val="20"/>
          <w:vertAlign w:val="superscript"/>
        </w:rPr>
        <w:t>st</w:t>
      </w:r>
      <w:r w:rsidRPr="00314C15">
        <w:rPr>
          <w:rFonts w:ascii="Verdana" w:hAnsi="Verdana" w:cs="Arial"/>
          <w:sz w:val="20"/>
          <w:szCs w:val="20"/>
        </w:rPr>
        <w:t xml:space="preserve"> Oct, 2017. Participants were assumed to be at-risk for CVD from study entry until first CVD event or censoring. The age- and sex-specific incidence rates of CVD were calculated among individuals with no record of having either CVD or a statin prescription prior to the date of study entry (</w:t>
      </w:r>
      <w:r w:rsidR="009A6768">
        <w:rPr>
          <w:rFonts w:ascii="Verdana" w:hAnsi="Verdana" w:cs="Arial"/>
          <w:b/>
          <w:bCs/>
          <w:sz w:val="20"/>
          <w:szCs w:val="20"/>
        </w:rPr>
        <w:t xml:space="preserve">Table </w:t>
      </w:r>
      <w:r w:rsidR="00A748C5">
        <w:rPr>
          <w:rFonts w:ascii="Verdana" w:hAnsi="Verdana" w:cs="Arial"/>
          <w:b/>
          <w:bCs/>
          <w:sz w:val="20"/>
          <w:szCs w:val="20"/>
        </w:rPr>
        <w:t>A in S2 Text</w:t>
      </w:r>
      <w:r w:rsidRPr="00314C15">
        <w:rPr>
          <w:rFonts w:ascii="Verdana" w:hAnsi="Verdana" w:cs="Arial"/>
          <w:sz w:val="20"/>
          <w:szCs w:val="20"/>
        </w:rPr>
        <w:t xml:space="preserve">). </w:t>
      </w:r>
    </w:p>
    <w:p w14:paraId="7F8E8BD7" w14:textId="77777777" w:rsidR="00426D71" w:rsidRPr="00314C15" w:rsidRDefault="00426D71" w:rsidP="00426D71">
      <w:pPr>
        <w:jc w:val="both"/>
        <w:rPr>
          <w:rFonts w:ascii="Verdana" w:hAnsi="Verdana" w:cs="Arial"/>
          <w:sz w:val="20"/>
          <w:szCs w:val="20"/>
        </w:rPr>
      </w:pPr>
    </w:p>
    <w:tbl>
      <w:tblPr>
        <w:tblW w:w="9356" w:type="dxa"/>
        <w:tblInd w:w="142" w:type="dxa"/>
        <w:tblLook w:val="04A0" w:firstRow="1" w:lastRow="0" w:firstColumn="1" w:lastColumn="0" w:noHBand="0" w:noVBand="1"/>
      </w:tblPr>
      <w:tblGrid>
        <w:gridCol w:w="2127"/>
        <w:gridCol w:w="380"/>
        <w:gridCol w:w="3305"/>
        <w:gridCol w:w="3544"/>
      </w:tblGrid>
      <w:tr w:rsidR="00426D71" w:rsidRPr="0079591C" w14:paraId="4999A0DC" w14:textId="77777777" w:rsidTr="00314C15">
        <w:trPr>
          <w:trHeight w:val="227"/>
        </w:trPr>
        <w:tc>
          <w:tcPr>
            <w:tcW w:w="9356" w:type="dxa"/>
            <w:gridSpan w:val="4"/>
            <w:tcBorders>
              <w:left w:val="nil"/>
              <w:bottom w:val="single" w:sz="8" w:space="0" w:color="auto"/>
              <w:right w:val="nil"/>
            </w:tcBorders>
            <w:shd w:val="clear" w:color="auto" w:fill="auto"/>
            <w:noWrap/>
            <w:vAlign w:val="bottom"/>
          </w:tcPr>
          <w:p w14:paraId="1A97B8CF" w14:textId="09B58B1B" w:rsidR="00426D71" w:rsidRPr="00314C15" w:rsidRDefault="00343998" w:rsidP="00343998">
            <w:pPr>
              <w:spacing w:after="120"/>
              <w:rPr>
                <w:rFonts w:ascii="Verdana" w:eastAsia="SimSun" w:hAnsi="Verdana"/>
                <w:sz w:val="22"/>
                <w:lang w:eastAsia="en-US"/>
              </w:rPr>
            </w:pPr>
            <w:r>
              <w:rPr>
                <w:rFonts w:ascii="Verdana" w:hAnsi="Verdana" w:cs="Arial"/>
                <w:b/>
                <w:bCs/>
                <w:sz w:val="20"/>
                <w:szCs w:val="20"/>
              </w:rPr>
              <w:t>Table A</w:t>
            </w:r>
            <w:r w:rsidR="00A748C5">
              <w:rPr>
                <w:rFonts w:ascii="Verdana" w:hAnsi="Verdana" w:cs="Arial"/>
                <w:b/>
                <w:bCs/>
                <w:sz w:val="20"/>
                <w:szCs w:val="20"/>
              </w:rPr>
              <w:t xml:space="preserve"> in S2 Text</w:t>
            </w:r>
            <w:r w:rsidR="00A748C5">
              <w:rPr>
                <w:rFonts w:ascii="Verdana" w:hAnsi="Verdana" w:cs="Arial"/>
                <w:b/>
                <w:color w:val="000000"/>
                <w:sz w:val="20"/>
                <w:lang w:eastAsia="en-GB"/>
              </w:rPr>
              <w:t>:</w:t>
            </w:r>
            <w:r w:rsidR="00426D71" w:rsidRPr="00314C15">
              <w:rPr>
                <w:rFonts w:ascii="Verdana" w:hAnsi="Verdana" w:cs="Arial"/>
                <w:b/>
                <w:color w:val="000000"/>
                <w:sz w:val="20"/>
                <w:lang w:eastAsia="en-GB"/>
              </w:rPr>
              <w:t xml:space="preserve"> Age- and sex-specific incidence rates (per 1000 person-years) of CVD among CPRD participants (n=2,156,627)</w:t>
            </w:r>
          </w:p>
        </w:tc>
      </w:tr>
      <w:tr w:rsidR="00426D71" w:rsidRPr="0079591C" w14:paraId="1FA464F5" w14:textId="77777777" w:rsidTr="00314C15">
        <w:trPr>
          <w:trHeight w:val="227"/>
        </w:trPr>
        <w:tc>
          <w:tcPr>
            <w:tcW w:w="2127" w:type="dxa"/>
            <w:tcBorders>
              <w:top w:val="single" w:sz="8" w:space="0" w:color="auto"/>
              <w:left w:val="nil"/>
              <w:bottom w:val="single" w:sz="4" w:space="0" w:color="auto"/>
              <w:right w:val="nil"/>
            </w:tcBorders>
            <w:shd w:val="clear" w:color="auto" w:fill="auto"/>
            <w:noWrap/>
            <w:vAlign w:val="bottom"/>
            <w:hideMark/>
          </w:tcPr>
          <w:p w14:paraId="25BCF296" w14:textId="77777777" w:rsidR="00426D71" w:rsidRPr="00314C15" w:rsidRDefault="00426D71" w:rsidP="00314C15">
            <w:pPr>
              <w:spacing w:before="40" w:after="40"/>
              <w:rPr>
                <w:rFonts w:ascii="Verdana" w:hAnsi="Verdana" w:cs="Arial"/>
                <w:b/>
                <w:color w:val="000000"/>
                <w:sz w:val="18"/>
                <w:lang w:eastAsia="en-GB"/>
              </w:rPr>
            </w:pPr>
            <w:r w:rsidRPr="00314C15">
              <w:rPr>
                <w:rFonts w:ascii="Verdana" w:hAnsi="Verdana" w:cs="Arial"/>
                <w:b/>
                <w:color w:val="000000"/>
                <w:sz w:val="18"/>
                <w:lang w:eastAsia="en-GB"/>
              </w:rPr>
              <w:t>Age-at-risk</w:t>
            </w:r>
          </w:p>
        </w:tc>
        <w:tc>
          <w:tcPr>
            <w:tcW w:w="380" w:type="dxa"/>
            <w:tcBorders>
              <w:top w:val="single" w:sz="8" w:space="0" w:color="auto"/>
              <w:left w:val="nil"/>
              <w:bottom w:val="single" w:sz="4" w:space="0" w:color="auto"/>
              <w:right w:val="nil"/>
            </w:tcBorders>
            <w:shd w:val="clear" w:color="auto" w:fill="auto"/>
            <w:noWrap/>
            <w:vAlign w:val="bottom"/>
            <w:hideMark/>
          </w:tcPr>
          <w:p w14:paraId="5CB33616" w14:textId="77777777" w:rsidR="00426D71" w:rsidRPr="00314C15" w:rsidRDefault="00426D71" w:rsidP="00314C15">
            <w:pPr>
              <w:spacing w:before="40" w:after="40"/>
              <w:jc w:val="center"/>
              <w:rPr>
                <w:rFonts w:ascii="Verdana" w:hAnsi="Verdana" w:cs="Arial"/>
                <w:b/>
                <w:color w:val="000000"/>
                <w:sz w:val="18"/>
                <w:lang w:eastAsia="en-GB"/>
              </w:rPr>
            </w:pPr>
          </w:p>
        </w:tc>
        <w:tc>
          <w:tcPr>
            <w:tcW w:w="3305" w:type="dxa"/>
            <w:tcBorders>
              <w:top w:val="single" w:sz="8" w:space="0" w:color="auto"/>
              <w:left w:val="nil"/>
              <w:bottom w:val="single" w:sz="4" w:space="0" w:color="auto"/>
              <w:right w:val="nil"/>
            </w:tcBorders>
            <w:shd w:val="clear" w:color="auto" w:fill="auto"/>
            <w:noWrap/>
            <w:vAlign w:val="bottom"/>
            <w:hideMark/>
          </w:tcPr>
          <w:p w14:paraId="622EE2C6" w14:textId="77777777" w:rsidR="00426D71" w:rsidRPr="00314C15" w:rsidRDefault="00426D71" w:rsidP="00314C15">
            <w:pPr>
              <w:spacing w:before="40" w:after="40"/>
              <w:jc w:val="center"/>
              <w:rPr>
                <w:rFonts w:ascii="Verdana" w:hAnsi="Verdana" w:cs="Arial"/>
                <w:b/>
                <w:color w:val="000000"/>
                <w:sz w:val="18"/>
                <w:lang w:eastAsia="en-GB"/>
              </w:rPr>
            </w:pPr>
            <w:r w:rsidRPr="00314C15">
              <w:rPr>
                <w:rFonts w:ascii="Verdana" w:hAnsi="Verdana" w:cs="Arial"/>
                <w:b/>
                <w:color w:val="000000"/>
                <w:sz w:val="18"/>
                <w:lang w:eastAsia="en-GB"/>
              </w:rPr>
              <w:t xml:space="preserve">     Male</w:t>
            </w:r>
          </w:p>
        </w:tc>
        <w:tc>
          <w:tcPr>
            <w:tcW w:w="3544" w:type="dxa"/>
            <w:tcBorders>
              <w:top w:val="single" w:sz="8" w:space="0" w:color="auto"/>
              <w:left w:val="nil"/>
              <w:bottom w:val="single" w:sz="4" w:space="0" w:color="auto"/>
              <w:right w:val="nil"/>
            </w:tcBorders>
            <w:shd w:val="clear" w:color="auto" w:fill="auto"/>
            <w:noWrap/>
            <w:vAlign w:val="bottom"/>
            <w:hideMark/>
          </w:tcPr>
          <w:p w14:paraId="3BBEBEA4" w14:textId="77777777" w:rsidR="00426D71" w:rsidRPr="00314C15" w:rsidRDefault="00426D71" w:rsidP="00314C15">
            <w:pPr>
              <w:spacing w:before="40" w:after="40"/>
              <w:jc w:val="center"/>
              <w:rPr>
                <w:rFonts w:ascii="Verdana" w:hAnsi="Verdana" w:cs="Arial"/>
                <w:b/>
                <w:color w:val="000000"/>
                <w:sz w:val="18"/>
                <w:lang w:eastAsia="en-GB"/>
              </w:rPr>
            </w:pPr>
            <w:r w:rsidRPr="00314C15">
              <w:rPr>
                <w:rFonts w:ascii="Verdana" w:hAnsi="Verdana" w:cs="Arial"/>
                <w:b/>
                <w:color w:val="000000"/>
                <w:sz w:val="18"/>
                <w:lang w:eastAsia="en-GB"/>
              </w:rPr>
              <w:t xml:space="preserve"> Female</w:t>
            </w:r>
          </w:p>
        </w:tc>
      </w:tr>
      <w:tr w:rsidR="00426D71" w:rsidRPr="0079591C" w14:paraId="77B82E44" w14:textId="77777777" w:rsidTr="00314C15">
        <w:trPr>
          <w:trHeight w:val="227"/>
        </w:trPr>
        <w:tc>
          <w:tcPr>
            <w:tcW w:w="2127" w:type="dxa"/>
            <w:tcBorders>
              <w:top w:val="single" w:sz="4" w:space="0" w:color="auto"/>
              <w:left w:val="nil"/>
              <w:bottom w:val="nil"/>
              <w:right w:val="nil"/>
            </w:tcBorders>
            <w:shd w:val="clear" w:color="auto" w:fill="auto"/>
            <w:noWrap/>
            <w:vAlign w:val="center"/>
            <w:hideMark/>
          </w:tcPr>
          <w:p w14:paraId="00C1DA82"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40-&lt;45</w:t>
            </w:r>
          </w:p>
        </w:tc>
        <w:tc>
          <w:tcPr>
            <w:tcW w:w="380" w:type="dxa"/>
            <w:tcBorders>
              <w:top w:val="single" w:sz="4" w:space="0" w:color="auto"/>
              <w:left w:val="nil"/>
              <w:bottom w:val="nil"/>
              <w:right w:val="nil"/>
            </w:tcBorders>
            <w:shd w:val="clear" w:color="auto" w:fill="auto"/>
            <w:noWrap/>
            <w:vAlign w:val="center"/>
            <w:hideMark/>
          </w:tcPr>
          <w:p w14:paraId="27E855FD"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single" w:sz="4" w:space="0" w:color="auto"/>
              <w:left w:val="nil"/>
              <w:bottom w:val="nil"/>
              <w:right w:val="nil"/>
            </w:tcBorders>
            <w:shd w:val="clear" w:color="auto" w:fill="auto"/>
            <w:noWrap/>
            <w:hideMark/>
          </w:tcPr>
          <w:p w14:paraId="17379D8F"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1.578</w:t>
            </w:r>
          </w:p>
        </w:tc>
        <w:tc>
          <w:tcPr>
            <w:tcW w:w="3544" w:type="dxa"/>
            <w:tcBorders>
              <w:top w:val="single" w:sz="4" w:space="0" w:color="auto"/>
              <w:left w:val="nil"/>
              <w:bottom w:val="nil"/>
              <w:right w:val="nil"/>
            </w:tcBorders>
            <w:shd w:val="clear" w:color="auto" w:fill="auto"/>
            <w:noWrap/>
            <w:hideMark/>
          </w:tcPr>
          <w:p w14:paraId="4BA44357"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0.726</w:t>
            </w:r>
          </w:p>
        </w:tc>
      </w:tr>
      <w:tr w:rsidR="00426D71" w:rsidRPr="0079591C" w14:paraId="2C97C661" w14:textId="77777777" w:rsidTr="00314C15">
        <w:trPr>
          <w:trHeight w:val="227"/>
        </w:trPr>
        <w:tc>
          <w:tcPr>
            <w:tcW w:w="2127" w:type="dxa"/>
            <w:tcBorders>
              <w:top w:val="nil"/>
              <w:left w:val="nil"/>
              <w:bottom w:val="nil"/>
              <w:right w:val="nil"/>
            </w:tcBorders>
            <w:shd w:val="clear" w:color="auto" w:fill="auto"/>
            <w:noWrap/>
            <w:vAlign w:val="center"/>
            <w:hideMark/>
          </w:tcPr>
          <w:p w14:paraId="6FD3DE23"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45-&lt;50</w:t>
            </w:r>
          </w:p>
        </w:tc>
        <w:tc>
          <w:tcPr>
            <w:tcW w:w="380" w:type="dxa"/>
            <w:tcBorders>
              <w:top w:val="nil"/>
              <w:left w:val="nil"/>
              <w:bottom w:val="nil"/>
              <w:right w:val="nil"/>
            </w:tcBorders>
            <w:shd w:val="clear" w:color="auto" w:fill="auto"/>
            <w:noWrap/>
            <w:vAlign w:val="center"/>
            <w:hideMark/>
          </w:tcPr>
          <w:p w14:paraId="2DFDD33C"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bottom w:val="nil"/>
              <w:right w:val="nil"/>
            </w:tcBorders>
            <w:shd w:val="clear" w:color="auto" w:fill="auto"/>
            <w:noWrap/>
            <w:hideMark/>
          </w:tcPr>
          <w:p w14:paraId="7D9D7BA3"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2.964</w:t>
            </w:r>
          </w:p>
        </w:tc>
        <w:tc>
          <w:tcPr>
            <w:tcW w:w="3544" w:type="dxa"/>
            <w:tcBorders>
              <w:top w:val="nil"/>
              <w:left w:val="nil"/>
              <w:bottom w:val="nil"/>
              <w:right w:val="nil"/>
            </w:tcBorders>
            <w:shd w:val="clear" w:color="auto" w:fill="auto"/>
            <w:noWrap/>
            <w:hideMark/>
          </w:tcPr>
          <w:p w14:paraId="1D9D0A10"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1.309</w:t>
            </w:r>
          </w:p>
        </w:tc>
      </w:tr>
      <w:tr w:rsidR="00426D71" w:rsidRPr="0079591C" w14:paraId="04C95EBF" w14:textId="77777777" w:rsidTr="00314C15">
        <w:trPr>
          <w:trHeight w:val="227"/>
        </w:trPr>
        <w:tc>
          <w:tcPr>
            <w:tcW w:w="2127" w:type="dxa"/>
            <w:tcBorders>
              <w:top w:val="nil"/>
              <w:left w:val="nil"/>
              <w:bottom w:val="nil"/>
              <w:right w:val="nil"/>
            </w:tcBorders>
            <w:shd w:val="clear" w:color="auto" w:fill="auto"/>
            <w:noWrap/>
            <w:vAlign w:val="center"/>
            <w:hideMark/>
          </w:tcPr>
          <w:p w14:paraId="55A2446A"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50-&lt;55</w:t>
            </w:r>
          </w:p>
        </w:tc>
        <w:tc>
          <w:tcPr>
            <w:tcW w:w="380" w:type="dxa"/>
            <w:tcBorders>
              <w:top w:val="nil"/>
              <w:left w:val="nil"/>
              <w:bottom w:val="nil"/>
              <w:right w:val="nil"/>
            </w:tcBorders>
            <w:shd w:val="clear" w:color="auto" w:fill="auto"/>
            <w:noWrap/>
            <w:vAlign w:val="center"/>
            <w:hideMark/>
          </w:tcPr>
          <w:p w14:paraId="4D2773CB"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bottom w:val="nil"/>
              <w:right w:val="nil"/>
            </w:tcBorders>
            <w:shd w:val="clear" w:color="auto" w:fill="auto"/>
            <w:noWrap/>
            <w:hideMark/>
          </w:tcPr>
          <w:p w14:paraId="7D92120D"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5.141</w:t>
            </w:r>
          </w:p>
        </w:tc>
        <w:tc>
          <w:tcPr>
            <w:tcW w:w="3544" w:type="dxa"/>
            <w:tcBorders>
              <w:top w:val="nil"/>
              <w:left w:val="nil"/>
              <w:bottom w:val="nil"/>
              <w:right w:val="nil"/>
            </w:tcBorders>
            <w:shd w:val="clear" w:color="auto" w:fill="auto"/>
            <w:noWrap/>
            <w:hideMark/>
          </w:tcPr>
          <w:p w14:paraId="67CB7EB9"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2.165</w:t>
            </w:r>
          </w:p>
        </w:tc>
      </w:tr>
      <w:tr w:rsidR="00426D71" w:rsidRPr="0079591C" w14:paraId="39AC1201" w14:textId="77777777" w:rsidTr="00314C15">
        <w:trPr>
          <w:trHeight w:val="227"/>
        </w:trPr>
        <w:tc>
          <w:tcPr>
            <w:tcW w:w="2127" w:type="dxa"/>
            <w:tcBorders>
              <w:top w:val="nil"/>
              <w:left w:val="nil"/>
              <w:bottom w:val="nil"/>
              <w:right w:val="nil"/>
            </w:tcBorders>
            <w:shd w:val="clear" w:color="auto" w:fill="auto"/>
            <w:noWrap/>
            <w:vAlign w:val="center"/>
            <w:hideMark/>
          </w:tcPr>
          <w:p w14:paraId="3C446934"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55-&lt;60</w:t>
            </w:r>
          </w:p>
        </w:tc>
        <w:tc>
          <w:tcPr>
            <w:tcW w:w="380" w:type="dxa"/>
            <w:tcBorders>
              <w:top w:val="nil"/>
              <w:left w:val="nil"/>
              <w:bottom w:val="nil"/>
              <w:right w:val="nil"/>
            </w:tcBorders>
            <w:shd w:val="clear" w:color="auto" w:fill="auto"/>
            <w:noWrap/>
            <w:vAlign w:val="center"/>
            <w:hideMark/>
          </w:tcPr>
          <w:p w14:paraId="2784C2FD"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bottom w:val="nil"/>
              <w:right w:val="nil"/>
            </w:tcBorders>
            <w:shd w:val="clear" w:color="auto" w:fill="auto"/>
            <w:noWrap/>
            <w:hideMark/>
          </w:tcPr>
          <w:p w14:paraId="2B39283F"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7.561</w:t>
            </w:r>
          </w:p>
        </w:tc>
        <w:tc>
          <w:tcPr>
            <w:tcW w:w="3544" w:type="dxa"/>
            <w:tcBorders>
              <w:top w:val="nil"/>
              <w:left w:val="nil"/>
              <w:bottom w:val="nil"/>
              <w:right w:val="nil"/>
            </w:tcBorders>
            <w:shd w:val="clear" w:color="auto" w:fill="auto"/>
            <w:noWrap/>
            <w:hideMark/>
          </w:tcPr>
          <w:p w14:paraId="4AC9C58A"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2.969</w:t>
            </w:r>
          </w:p>
        </w:tc>
      </w:tr>
      <w:tr w:rsidR="00426D71" w:rsidRPr="0079591C" w14:paraId="091DA161" w14:textId="77777777" w:rsidTr="00314C15">
        <w:trPr>
          <w:trHeight w:val="227"/>
        </w:trPr>
        <w:tc>
          <w:tcPr>
            <w:tcW w:w="2127" w:type="dxa"/>
            <w:tcBorders>
              <w:top w:val="nil"/>
              <w:left w:val="nil"/>
              <w:bottom w:val="nil"/>
              <w:right w:val="nil"/>
            </w:tcBorders>
            <w:shd w:val="clear" w:color="auto" w:fill="auto"/>
            <w:noWrap/>
            <w:vAlign w:val="center"/>
            <w:hideMark/>
          </w:tcPr>
          <w:p w14:paraId="193B8629"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60-&lt;65</w:t>
            </w:r>
          </w:p>
        </w:tc>
        <w:tc>
          <w:tcPr>
            <w:tcW w:w="380" w:type="dxa"/>
            <w:tcBorders>
              <w:top w:val="nil"/>
              <w:left w:val="nil"/>
              <w:bottom w:val="nil"/>
              <w:right w:val="nil"/>
            </w:tcBorders>
            <w:shd w:val="clear" w:color="auto" w:fill="auto"/>
            <w:noWrap/>
            <w:vAlign w:val="center"/>
            <w:hideMark/>
          </w:tcPr>
          <w:p w14:paraId="1B96858C"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bottom w:val="nil"/>
              <w:right w:val="nil"/>
            </w:tcBorders>
            <w:shd w:val="clear" w:color="auto" w:fill="auto"/>
            <w:noWrap/>
            <w:hideMark/>
          </w:tcPr>
          <w:p w14:paraId="788E1D9A"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10.848</w:t>
            </w:r>
          </w:p>
        </w:tc>
        <w:tc>
          <w:tcPr>
            <w:tcW w:w="3544" w:type="dxa"/>
            <w:tcBorders>
              <w:top w:val="nil"/>
              <w:left w:val="nil"/>
              <w:bottom w:val="nil"/>
              <w:right w:val="nil"/>
            </w:tcBorders>
            <w:shd w:val="clear" w:color="auto" w:fill="auto"/>
            <w:noWrap/>
            <w:hideMark/>
          </w:tcPr>
          <w:p w14:paraId="7F12A3AA"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4.56</w:t>
            </w:r>
            <w:r>
              <w:rPr>
                <w:rFonts w:ascii="Verdana" w:hAnsi="Verdana" w:cs="Arial"/>
                <w:sz w:val="18"/>
                <w:szCs w:val="18"/>
              </w:rPr>
              <w:t>0</w:t>
            </w:r>
          </w:p>
        </w:tc>
      </w:tr>
      <w:tr w:rsidR="00426D71" w:rsidRPr="0079591C" w14:paraId="0C8BEB94" w14:textId="77777777" w:rsidTr="00314C15">
        <w:trPr>
          <w:trHeight w:val="227"/>
        </w:trPr>
        <w:tc>
          <w:tcPr>
            <w:tcW w:w="2127" w:type="dxa"/>
            <w:tcBorders>
              <w:top w:val="nil"/>
              <w:left w:val="nil"/>
              <w:right w:val="nil"/>
            </w:tcBorders>
            <w:shd w:val="clear" w:color="auto" w:fill="auto"/>
            <w:noWrap/>
            <w:vAlign w:val="center"/>
            <w:hideMark/>
          </w:tcPr>
          <w:p w14:paraId="50C4BA03"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65-&lt;70</w:t>
            </w:r>
          </w:p>
        </w:tc>
        <w:tc>
          <w:tcPr>
            <w:tcW w:w="380" w:type="dxa"/>
            <w:tcBorders>
              <w:top w:val="nil"/>
              <w:left w:val="nil"/>
              <w:right w:val="nil"/>
            </w:tcBorders>
            <w:shd w:val="clear" w:color="auto" w:fill="auto"/>
            <w:noWrap/>
            <w:vAlign w:val="center"/>
            <w:hideMark/>
          </w:tcPr>
          <w:p w14:paraId="2620F2A3"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right w:val="nil"/>
            </w:tcBorders>
            <w:shd w:val="clear" w:color="auto" w:fill="auto"/>
            <w:noWrap/>
            <w:hideMark/>
          </w:tcPr>
          <w:p w14:paraId="5909201E"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13.731</w:t>
            </w:r>
          </w:p>
        </w:tc>
        <w:tc>
          <w:tcPr>
            <w:tcW w:w="3544" w:type="dxa"/>
            <w:tcBorders>
              <w:top w:val="nil"/>
              <w:left w:val="nil"/>
              <w:right w:val="nil"/>
            </w:tcBorders>
            <w:shd w:val="clear" w:color="auto" w:fill="auto"/>
            <w:noWrap/>
            <w:hideMark/>
          </w:tcPr>
          <w:p w14:paraId="4E2214FC"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7.007</w:t>
            </w:r>
          </w:p>
        </w:tc>
      </w:tr>
      <w:tr w:rsidR="00426D71" w:rsidRPr="0079591C" w14:paraId="6D4446D2" w14:textId="77777777" w:rsidTr="00314C15">
        <w:trPr>
          <w:trHeight w:val="227"/>
        </w:trPr>
        <w:tc>
          <w:tcPr>
            <w:tcW w:w="2127" w:type="dxa"/>
            <w:tcBorders>
              <w:top w:val="nil"/>
              <w:left w:val="nil"/>
              <w:right w:val="nil"/>
            </w:tcBorders>
            <w:shd w:val="clear" w:color="auto" w:fill="auto"/>
            <w:noWrap/>
            <w:vAlign w:val="center"/>
            <w:hideMark/>
          </w:tcPr>
          <w:p w14:paraId="6ED9530C"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70-&lt;75</w:t>
            </w:r>
          </w:p>
        </w:tc>
        <w:tc>
          <w:tcPr>
            <w:tcW w:w="380" w:type="dxa"/>
            <w:tcBorders>
              <w:top w:val="nil"/>
              <w:left w:val="nil"/>
              <w:right w:val="nil"/>
            </w:tcBorders>
            <w:shd w:val="clear" w:color="auto" w:fill="auto"/>
            <w:noWrap/>
            <w:vAlign w:val="center"/>
            <w:hideMark/>
          </w:tcPr>
          <w:p w14:paraId="2253DBBD"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top w:val="nil"/>
              <w:left w:val="nil"/>
              <w:right w:val="nil"/>
            </w:tcBorders>
            <w:shd w:val="clear" w:color="auto" w:fill="auto"/>
            <w:noWrap/>
            <w:hideMark/>
          </w:tcPr>
          <w:p w14:paraId="06219630"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19.271</w:t>
            </w:r>
          </w:p>
        </w:tc>
        <w:tc>
          <w:tcPr>
            <w:tcW w:w="3544" w:type="dxa"/>
            <w:tcBorders>
              <w:top w:val="nil"/>
              <w:left w:val="nil"/>
              <w:right w:val="nil"/>
            </w:tcBorders>
            <w:shd w:val="clear" w:color="auto" w:fill="auto"/>
            <w:noWrap/>
            <w:hideMark/>
          </w:tcPr>
          <w:p w14:paraId="518B6F93"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10.84</w:t>
            </w:r>
            <w:r>
              <w:rPr>
                <w:rFonts w:ascii="Verdana" w:hAnsi="Verdana" w:cs="Arial"/>
                <w:sz w:val="18"/>
                <w:szCs w:val="18"/>
              </w:rPr>
              <w:t>0</w:t>
            </w:r>
          </w:p>
        </w:tc>
      </w:tr>
      <w:tr w:rsidR="00426D71" w:rsidRPr="0079591C" w14:paraId="73F4955D" w14:textId="77777777" w:rsidTr="00314C15">
        <w:trPr>
          <w:trHeight w:val="227"/>
        </w:trPr>
        <w:tc>
          <w:tcPr>
            <w:tcW w:w="2127" w:type="dxa"/>
            <w:tcBorders>
              <w:left w:val="nil"/>
              <w:bottom w:val="single" w:sz="8" w:space="0" w:color="auto"/>
              <w:right w:val="nil"/>
            </w:tcBorders>
            <w:shd w:val="clear" w:color="auto" w:fill="auto"/>
            <w:noWrap/>
            <w:vAlign w:val="center"/>
          </w:tcPr>
          <w:p w14:paraId="6F5DE01F" w14:textId="77777777" w:rsidR="00426D71" w:rsidRPr="00314C15" w:rsidRDefault="00426D71" w:rsidP="00314C15">
            <w:pPr>
              <w:spacing w:before="40" w:after="40"/>
              <w:ind w:left="321" w:hanging="142"/>
              <w:rPr>
                <w:rFonts w:ascii="Verdana" w:hAnsi="Verdana" w:cs="Arial"/>
                <w:color w:val="000000"/>
                <w:sz w:val="18"/>
                <w:lang w:eastAsia="en-GB"/>
              </w:rPr>
            </w:pPr>
            <w:r w:rsidRPr="00314C15">
              <w:rPr>
                <w:rFonts w:ascii="Verdana" w:hAnsi="Verdana" w:cs="Arial"/>
                <w:color w:val="000000"/>
                <w:sz w:val="18"/>
                <w:lang w:eastAsia="en-GB"/>
              </w:rPr>
              <w:t>75-&lt;80</w:t>
            </w:r>
          </w:p>
        </w:tc>
        <w:tc>
          <w:tcPr>
            <w:tcW w:w="380" w:type="dxa"/>
            <w:tcBorders>
              <w:left w:val="nil"/>
              <w:bottom w:val="single" w:sz="8" w:space="0" w:color="auto"/>
              <w:right w:val="nil"/>
            </w:tcBorders>
            <w:shd w:val="clear" w:color="auto" w:fill="auto"/>
            <w:noWrap/>
            <w:vAlign w:val="center"/>
          </w:tcPr>
          <w:p w14:paraId="7F6BEC96" w14:textId="77777777" w:rsidR="00426D71" w:rsidRPr="00314C15" w:rsidRDefault="00426D71" w:rsidP="00314C15">
            <w:pPr>
              <w:spacing w:before="40" w:after="40"/>
              <w:jc w:val="center"/>
              <w:rPr>
                <w:rFonts w:ascii="Verdana" w:hAnsi="Verdana" w:cs="Arial"/>
                <w:color w:val="000000"/>
                <w:sz w:val="18"/>
                <w:lang w:eastAsia="en-GB"/>
              </w:rPr>
            </w:pPr>
          </w:p>
        </w:tc>
        <w:tc>
          <w:tcPr>
            <w:tcW w:w="3305" w:type="dxa"/>
            <w:tcBorders>
              <w:left w:val="nil"/>
              <w:bottom w:val="single" w:sz="8" w:space="0" w:color="auto"/>
              <w:right w:val="nil"/>
            </w:tcBorders>
            <w:shd w:val="clear" w:color="auto" w:fill="auto"/>
            <w:noWrap/>
          </w:tcPr>
          <w:p w14:paraId="6A6022E9"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25.667</w:t>
            </w:r>
          </w:p>
        </w:tc>
        <w:tc>
          <w:tcPr>
            <w:tcW w:w="3544" w:type="dxa"/>
            <w:tcBorders>
              <w:left w:val="nil"/>
              <w:bottom w:val="single" w:sz="8" w:space="0" w:color="auto"/>
              <w:right w:val="nil"/>
            </w:tcBorders>
            <w:shd w:val="clear" w:color="auto" w:fill="auto"/>
            <w:noWrap/>
          </w:tcPr>
          <w:p w14:paraId="05283E8F" w14:textId="77777777" w:rsidR="00426D71" w:rsidRPr="00314C15" w:rsidRDefault="00426D71" w:rsidP="00314C15">
            <w:pPr>
              <w:spacing w:before="40" w:after="40"/>
              <w:ind w:left="321" w:hanging="142"/>
              <w:jc w:val="center"/>
              <w:rPr>
                <w:rFonts w:ascii="Verdana" w:hAnsi="Verdana" w:cs="Arial"/>
                <w:color w:val="000000"/>
                <w:sz w:val="18"/>
                <w:szCs w:val="18"/>
                <w:lang w:eastAsia="en-GB"/>
              </w:rPr>
            </w:pPr>
            <w:r w:rsidRPr="00314C15">
              <w:rPr>
                <w:rFonts w:ascii="Verdana" w:hAnsi="Verdana" w:cs="Arial"/>
                <w:sz w:val="18"/>
                <w:szCs w:val="18"/>
              </w:rPr>
              <w:t>17.007</w:t>
            </w:r>
          </w:p>
        </w:tc>
      </w:tr>
    </w:tbl>
    <w:p w14:paraId="2B01072D" w14:textId="77777777" w:rsidR="00A748C5" w:rsidRDefault="00A748C5" w:rsidP="00426D71">
      <w:pPr>
        <w:jc w:val="both"/>
        <w:rPr>
          <w:rFonts w:ascii="Verdana" w:hAnsi="Verdana" w:cs="Arial"/>
          <w:b/>
          <w:bCs/>
        </w:rPr>
        <w:sectPr w:rsidR="00A748C5" w:rsidSect="00826422">
          <w:pgSz w:w="11906" w:h="16838"/>
          <w:pgMar w:top="1134" w:right="1134" w:bottom="1134" w:left="1134" w:header="708" w:footer="708" w:gutter="0"/>
          <w:cols w:space="708"/>
          <w:docGrid w:linePitch="360"/>
        </w:sectPr>
      </w:pPr>
    </w:p>
    <w:p w14:paraId="09131171" w14:textId="66DF9613" w:rsidR="00426D71" w:rsidRPr="00A748C5" w:rsidRDefault="00A748C5" w:rsidP="00426D71">
      <w:pPr>
        <w:jc w:val="both"/>
        <w:rPr>
          <w:rFonts w:ascii="Verdana" w:hAnsi="Verdana" w:cs="Arial"/>
          <w:b/>
          <w:bCs/>
          <w:sz w:val="20"/>
          <w:szCs w:val="20"/>
        </w:rPr>
      </w:pPr>
      <w:r w:rsidRPr="00A748C5">
        <w:rPr>
          <w:rFonts w:ascii="Verdana" w:hAnsi="Verdana" w:cs="Arial"/>
          <w:b/>
          <w:bCs/>
          <w:sz w:val="20"/>
          <w:szCs w:val="20"/>
        </w:rPr>
        <w:lastRenderedPageBreak/>
        <w:t>Fig A in S2 Text</w:t>
      </w:r>
      <w:r>
        <w:rPr>
          <w:rFonts w:ascii="Verdana" w:hAnsi="Verdana" w:cs="Arial"/>
          <w:b/>
          <w:bCs/>
          <w:sz w:val="20"/>
          <w:szCs w:val="20"/>
        </w:rPr>
        <w:t xml:space="preserve">: </w:t>
      </w:r>
      <w:r w:rsidRPr="00C804FC">
        <w:rPr>
          <w:rFonts w:ascii="Verdana" w:hAnsi="Verdana" w:cs="Arial"/>
          <w:b/>
          <w:sz w:val="20"/>
        </w:rPr>
        <w:t>Study population in the Clinical Practice Research Datalink</w:t>
      </w:r>
    </w:p>
    <w:p w14:paraId="150444EB" w14:textId="061CECDF" w:rsidR="00A748C5" w:rsidRPr="00A748C5" w:rsidRDefault="00A748C5" w:rsidP="00426D71">
      <w:pPr>
        <w:jc w:val="both"/>
        <w:rPr>
          <w:rFonts w:ascii="Verdana" w:hAnsi="Verdana" w:cs="Arial"/>
          <w:b/>
          <w:bCs/>
          <w:sz w:val="20"/>
          <w:szCs w:val="20"/>
        </w:rPr>
      </w:pPr>
      <w:r>
        <w:rPr>
          <w:rFonts w:ascii="Verdana" w:hAnsi="Verdana" w:cs="Arial"/>
          <w:b/>
          <w:bCs/>
          <w:noProof/>
          <w:sz w:val="20"/>
          <w:szCs w:val="20"/>
        </w:rPr>
        <w:drawing>
          <wp:inline distT="0" distB="0" distL="0" distR="0" wp14:anchorId="1EB7D52B" wp14:editId="00ED4BB2">
            <wp:extent cx="3729857" cy="66240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extLst>
                        <a:ext uri="{28A0092B-C50C-407E-A947-70E740481C1C}">
                          <a14:useLocalDpi xmlns:a14="http://schemas.microsoft.com/office/drawing/2010/main" val="0"/>
                        </a:ext>
                      </a:extLst>
                    </a:blip>
                    <a:srcRect l="20508" t="13315" r="19883" b="13400"/>
                    <a:stretch/>
                  </pic:blipFill>
                  <pic:spPr bwMode="auto">
                    <a:xfrm>
                      <a:off x="0" y="0"/>
                      <a:ext cx="3729857" cy="6624000"/>
                    </a:xfrm>
                    <a:prstGeom prst="rect">
                      <a:avLst/>
                    </a:prstGeom>
                    <a:ln>
                      <a:noFill/>
                    </a:ln>
                    <a:extLst>
                      <a:ext uri="{53640926-AAD7-44D8-BBD7-CCE9431645EC}">
                        <a14:shadowObscured xmlns:a14="http://schemas.microsoft.com/office/drawing/2010/main"/>
                      </a:ext>
                    </a:extLst>
                  </pic:spPr>
                </pic:pic>
              </a:graphicData>
            </a:graphic>
          </wp:inline>
        </w:drawing>
      </w:r>
    </w:p>
    <w:p w14:paraId="7E00B86B" w14:textId="7CAFE1BF" w:rsidR="00A748C5" w:rsidRDefault="00A748C5" w:rsidP="00426D71">
      <w:pPr>
        <w:jc w:val="both"/>
        <w:rPr>
          <w:rFonts w:ascii="Verdana" w:hAnsi="Verdana" w:cs="Arial"/>
          <w:b/>
          <w:bCs/>
        </w:rPr>
      </w:pPr>
    </w:p>
    <w:p w14:paraId="0274466A" w14:textId="41BE04E2" w:rsidR="00A748C5" w:rsidRDefault="00A748C5" w:rsidP="00426D71">
      <w:pPr>
        <w:jc w:val="both"/>
        <w:rPr>
          <w:rFonts w:ascii="Verdana" w:hAnsi="Verdana" w:cs="Arial"/>
          <w:b/>
          <w:bCs/>
        </w:rPr>
      </w:pPr>
    </w:p>
    <w:p w14:paraId="31CE2AAC" w14:textId="4D47C76C" w:rsidR="00A748C5" w:rsidRDefault="00A748C5" w:rsidP="00426D71">
      <w:pPr>
        <w:jc w:val="both"/>
        <w:rPr>
          <w:rFonts w:ascii="Verdana" w:hAnsi="Verdana" w:cs="Arial"/>
          <w:b/>
          <w:bCs/>
        </w:rPr>
      </w:pPr>
    </w:p>
    <w:p w14:paraId="55BA6A40" w14:textId="6B8B084B" w:rsidR="00A748C5" w:rsidRDefault="00A748C5" w:rsidP="00426D71">
      <w:pPr>
        <w:jc w:val="both"/>
        <w:rPr>
          <w:rFonts w:ascii="Verdana" w:hAnsi="Verdana" w:cs="Arial"/>
          <w:b/>
          <w:bCs/>
        </w:rPr>
      </w:pPr>
    </w:p>
    <w:p w14:paraId="4FCA066D" w14:textId="77777777" w:rsidR="00A748C5" w:rsidRPr="00314C15" w:rsidRDefault="00A748C5" w:rsidP="00426D71">
      <w:pPr>
        <w:jc w:val="both"/>
        <w:rPr>
          <w:rFonts w:ascii="Verdana" w:hAnsi="Verdana" w:cs="Arial"/>
          <w:b/>
          <w:bCs/>
        </w:rPr>
      </w:pPr>
    </w:p>
    <w:p w14:paraId="3B90CAE2" w14:textId="77777777" w:rsidR="00426D71" w:rsidRDefault="00426D71" w:rsidP="00426D71">
      <w:pPr>
        <w:jc w:val="both"/>
        <w:rPr>
          <w:rFonts w:ascii="Arial" w:hAnsi="Arial" w:cs="Arial"/>
          <w:b/>
          <w:bCs/>
        </w:rPr>
      </w:pPr>
    </w:p>
    <w:p w14:paraId="3CC407BC" w14:textId="77777777" w:rsidR="00426D71" w:rsidRDefault="00426D71" w:rsidP="00426D71">
      <w:pPr>
        <w:jc w:val="both"/>
        <w:rPr>
          <w:rFonts w:ascii="Arial" w:hAnsi="Arial" w:cs="Arial"/>
          <w:b/>
          <w:bCs/>
        </w:rPr>
        <w:sectPr w:rsidR="00426D71" w:rsidSect="00826422">
          <w:pgSz w:w="11906" w:h="16838"/>
          <w:pgMar w:top="1134" w:right="1134" w:bottom="1134" w:left="1134" w:header="708" w:footer="708" w:gutter="0"/>
          <w:cols w:space="708"/>
          <w:docGrid w:linePitch="360"/>
        </w:sectPr>
      </w:pPr>
    </w:p>
    <w:p w14:paraId="26F4F267" w14:textId="427181C5" w:rsidR="00426D71" w:rsidRDefault="00426D71">
      <w:pPr>
        <w:rPr>
          <w:rFonts w:ascii="Verdana" w:hAnsi="Verdana"/>
          <w:b/>
          <w:bCs/>
          <w:sz w:val="20"/>
          <w:szCs w:val="20"/>
        </w:rPr>
      </w:pPr>
      <w:r>
        <w:rPr>
          <w:rFonts w:ascii="Verdana" w:hAnsi="Verdana"/>
          <w:b/>
          <w:bCs/>
          <w:sz w:val="20"/>
          <w:szCs w:val="20"/>
        </w:rPr>
        <w:lastRenderedPageBreak/>
        <w:t>References</w:t>
      </w:r>
    </w:p>
    <w:p w14:paraId="09BC4BD6" w14:textId="33B6D0A0" w:rsidR="00C200B7" w:rsidRPr="00C200B7" w:rsidRDefault="00426D71" w:rsidP="00C200B7">
      <w:pPr>
        <w:pStyle w:val="EndNoteBibliography"/>
        <w:spacing w:after="240"/>
        <w:rPr>
          <w:noProof/>
        </w:rPr>
      </w:pPr>
      <w:r>
        <w:rPr>
          <w:b/>
          <w:bCs/>
          <w:sz w:val="20"/>
          <w:szCs w:val="20"/>
        </w:rPr>
        <w:fldChar w:fldCharType="begin"/>
      </w:r>
      <w:r>
        <w:rPr>
          <w:b/>
          <w:bCs/>
          <w:sz w:val="20"/>
          <w:szCs w:val="20"/>
        </w:rPr>
        <w:instrText xml:space="preserve"> ADDIN EN.REFLIST </w:instrText>
      </w:r>
      <w:r>
        <w:rPr>
          <w:b/>
          <w:bCs/>
          <w:sz w:val="20"/>
          <w:szCs w:val="20"/>
        </w:rPr>
        <w:fldChar w:fldCharType="separate"/>
      </w:r>
      <w:r w:rsidR="00C200B7" w:rsidRPr="00C200B7">
        <w:rPr>
          <w:noProof/>
        </w:rPr>
        <w:t>1.</w:t>
      </w:r>
      <w:r w:rsidR="00C200B7" w:rsidRPr="00C200B7">
        <w:rPr>
          <w:noProof/>
        </w:rPr>
        <w:tab/>
        <w:t xml:space="preserve">Herrett E, Gallagher AM, Bhaskaran K, Forbes H, Mathur R, van Staa T, et al. Data Resource Profile: Clinical Practice Research Datalink (CPRD). Int J Epidemiol. 2015;44(3):827-36. Epub 2015/06/08. </w:t>
      </w:r>
      <w:hyperlink r:id="rId5" w:history="1">
        <w:r w:rsidR="00C200B7" w:rsidRPr="00C200B7">
          <w:rPr>
            <w:rStyle w:val="Hyperlink"/>
            <w:noProof/>
          </w:rPr>
          <w:t>http://doi.org/10.1093/ije/dyv098</w:t>
        </w:r>
      </w:hyperlink>
      <w:r w:rsidR="00C200B7" w:rsidRPr="00C200B7">
        <w:rPr>
          <w:noProof/>
        </w:rPr>
        <w:t>. PMID: 26050254.</w:t>
      </w:r>
    </w:p>
    <w:p w14:paraId="1C63E361" w14:textId="0FC2D2D3" w:rsidR="00C200B7" w:rsidRPr="00C200B7" w:rsidRDefault="00C200B7" w:rsidP="00C200B7">
      <w:pPr>
        <w:pStyle w:val="EndNoteBibliography"/>
        <w:spacing w:after="240"/>
        <w:rPr>
          <w:noProof/>
        </w:rPr>
      </w:pPr>
      <w:r w:rsidRPr="00C200B7">
        <w:rPr>
          <w:noProof/>
        </w:rPr>
        <w:t>2.</w:t>
      </w:r>
      <w:r w:rsidRPr="00C200B7">
        <w:rPr>
          <w:noProof/>
        </w:rPr>
        <w:tab/>
        <w:t xml:space="preserve">National Health Service (NHS). NHS Digital TRUD (2019) </w:t>
      </w:r>
      <w:hyperlink r:id="rId6" w:history="1">
        <w:r w:rsidRPr="00C200B7">
          <w:rPr>
            <w:rStyle w:val="Hyperlink"/>
            <w:noProof/>
          </w:rPr>
          <w:t>https://isd.digital.nhs.uk/trud3/user/guest/group/0/pack/9/subpack/9/releases</w:t>
        </w:r>
      </w:hyperlink>
      <w:r w:rsidRPr="00C200B7">
        <w:rPr>
          <w:noProof/>
        </w:rPr>
        <w:t xml:space="preserve"> [26 June, 2019]. Available from: </w:t>
      </w:r>
      <w:hyperlink r:id="rId7" w:history="1">
        <w:r w:rsidRPr="00C200B7">
          <w:rPr>
            <w:rStyle w:val="Hyperlink"/>
            <w:noProof/>
          </w:rPr>
          <w:t>https://isd.digital.nhs.uk/trud3/user/guest/group/0/pack/9/subpack/9/releases</w:t>
        </w:r>
      </w:hyperlink>
      <w:r w:rsidRPr="00C200B7">
        <w:rPr>
          <w:noProof/>
        </w:rPr>
        <w:t>.</w:t>
      </w:r>
    </w:p>
    <w:p w14:paraId="3B2C7970" w14:textId="11CCFD40" w:rsidR="00C200B7" w:rsidRPr="00C200B7" w:rsidRDefault="00C200B7" w:rsidP="00C200B7">
      <w:pPr>
        <w:pStyle w:val="EndNoteBibliography"/>
        <w:spacing w:after="240"/>
        <w:rPr>
          <w:noProof/>
        </w:rPr>
      </w:pPr>
      <w:r w:rsidRPr="00C200B7">
        <w:rPr>
          <w:noProof/>
        </w:rPr>
        <w:t>3.</w:t>
      </w:r>
      <w:r w:rsidRPr="00C200B7">
        <w:rPr>
          <w:noProof/>
        </w:rPr>
        <w:tab/>
        <w:t xml:space="preserve">Reeves D, Springate DA, Ashcroft DM, Ryan R, Doran T, Morris R, et al. Can analyses of electronic patient records be independently and externally validated? The effect of statins on the mortality of patients with ischaemic heart disease: a cohort study with nested case–control analysis. BMJ Open. 2014;4(4):e004952. </w:t>
      </w:r>
      <w:hyperlink r:id="rId8" w:history="1">
        <w:r w:rsidRPr="00C200B7">
          <w:rPr>
            <w:rStyle w:val="Hyperlink"/>
            <w:noProof/>
          </w:rPr>
          <w:t>http://doi.org/10.1136/bmjopen-2014-004952</w:t>
        </w:r>
      </w:hyperlink>
      <w:r w:rsidRPr="00C200B7">
        <w:rPr>
          <w:noProof/>
        </w:rPr>
        <w:t xml:space="preserve">. PMID: 24760353 </w:t>
      </w:r>
    </w:p>
    <w:p w14:paraId="25D593CB" w14:textId="4EB23F59" w:rsidR="00C200B7" w:rsidRPr="00C200B7" w:rsidRDefault="00C200B7" w:rsidP="00C200B7">
      <w:pPr>
        <w:pStyle w:val="EndNoteBibliography"/>
        <w:spacing w:after="240"/>
        <w:rPr>
          <w:noProof/>
        </w:rPr>
      </w:pPr>
      <w:r w:rsidRPr="00C200B7">
        <w:rPr>
          <w:noProof/>
        </w:rPr>
        <w:t>4.</w:t>
      </w:r>
      <w:r w:rsidRPr="00C200B7">
        <w:rPr>
          <w:noProof/>
        </w:rPr>
        <w:tab/>
        <w:t xml:space="preserve">Kontopantelis E, Springate DA, Reeves D, Ashcroft DM, Rutter MK, Buchan I, et al. Glucose, blood pressure and cholesterol levels and their relationships to clinical outcomes in type 2 diabetes: a retrospective cohort study. Diabetologia. 2015;58(3):505-18. Epub 2014/12/17. </w:t>
      </w:r>
      <w:hyperlink r:id="rId9" w:history="1">
        <w:r w:rsidRPr="00C200B7">
          <w:rPr>
            <w:rStyle w:val="Hyperlink"/>
            <w:noProof/>
          </w:rPr>
          <w:t>http://doi.org/10.1007/s00125-014-3473-8</w:t>
        </w:r>
      </w:hyperlink>
      <w:r w:rsidRPr="00C200B7">
        <w:rPr>
          <w:noProof/>
        </w:rPr>
        <w:t>. PMID: 25512005.</w:t>
      </w:r>
    </w:p>
    <w:p w14:paraId="5B3FBD8D" w14:textId="07E6E7A8" w:rsidR="00C200B7" w:rsidRPr="00C200B7" w:rsidRDefault="00C200B7" w:rsidP="00C200B7">
      <w:pPr>
        <w:pStyle w:val="EndNoteBibliography"/>
        <w:rPr>
          <w:noProof/>
        </w:rPr>
      </w:pPr>
      <w:r w:rsidRPr="00C200B7">
        <w:rPr>
          <w:noProof/>
        </w:rPr>
        <w:t>5.</w:t>
      </w:r>
      <w:r w:rsidRPr="00C200B7">
        <w:rPr>
          <w:noProof/>
        </w:rPr>
        <w:tab/>
        <w:t xml:space="preserve">Wright AK, Kontopantelis E, Emsley R, Buchan I, Sattar N, Rutter MK, et al. Life Expectancy and Cause-Specific Mortality in Type 2 Diabetes: A Population-Based Cohort Study Quantifying Relationships in Ethnic Subgroups. Diabetes care. 2017;40(3):338-45. Epub 2016/12/22. </w:t>
      </w:r>
      <w:hyperlink r:id="rId10" w:history="1">
        <w:r w:rsidRPr="00C200B7">
          <w:rPr>
            <w:rStyle w:val="Hyperlink"/>
            <w:noProof/>
          </w:rPr>
          <w:t>http://doi.org/10.2337/dc16-1616</w:t>
        </w:r>
      </w:hyperlink>
      <w:r w:rsidRPr="00C200B7">
        <w:rPr>
          <w:noProof/>
        </w:rPr>
        <w:t>. PMID: 27998911.</w:t>
      </w:r>
    </w:p>
    <w:p w14:paraId="0427E86F" w14:textId="06969E33" w:rsidR="00426D71" w:rsidRPr="00426D71" w:rsidRDefault="00426D71">
      <w:pPr>
        <w:rPr>
          <w:rFonts w:ascii="Verdana" w:hAnsi="Verdana"/>
          <w:b/>
          <w:bCs/>
          <w:sz w:val="20"/>
          <w:szCs w:val="20"/>
        </w:rPr>
      </w:pPr>
      <w:r>
        <w:rPr>
          <w:rFonts w:ascii="Verdana" w:hAnsi="Verdana"/>
          <w:b/>
          <w:bCs/>
          <w:sz w:val="20"/>
          <w:szCs w:val="20"/>
        </w:rPr>
        <w:fldChar w:fldCharType="end"/>
      </w:r>
    </w:p>
    <w:sectPr w:rsidR="00426D71" w:rsidRPr="00426D71" w:rsidSect="00426D71">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DOI&lt;/Style&gt;&lt;LeftDelim&gt;{&lt;/LeftDelim&gt;&lt;RightDelim&gt;}&lt;/RightDelim&gt;&lt;FontName&gt;Verdana&lt;/FontName&gt;&lt;FontSize&gt;9&lt;/FontSize&gt;&lt;ReflistTitle&gt;&lt;/ReflistTitle&gt;&lt;StartingRefnum&gt;1&lt;/StartingRefnum&gt;&lt;FirstLineIndent&gt;282&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za9xxztv0w0toepvzo595vxadavdaa29vew&quot;&gt;Risk Prediction-Converted&lt;record-ids&gt;&lt;item&gt;103&lt;/item&gt;&lt;item&gt;119&lt;/item&gt;&lt;item&gt;120&lt;/item&gt;&lt;item&gt;121&lt;/item&gt;&lt;item&gt;122&lt;/item&gt;&lt;/record-ids&gt;&lt;/item&gt;&lt;/Libraries&gt;"/>
  </w:docVars>
  <w:rsids>
    <w:rsidRoot w:val="00426D71"/>
    <w:rsid w:val="000F375A"/>
    <w:rsid w:val="0015547B"/>
    <w:rsid w:val="00176BC7"/>
    <w:rsid w:val="001B621C"/>
    <w:rsid w:val="002F4BD1"/>
    <w:rsid w:val="0030032E"/>
    <w:rsid w:val="00343998"/>
    <w:rsid w:val="003C2DDB"/>
    <w:rsid w:val="003C61AE"/>
    <w:rsid w:val="00426D71"/>
    <w:rsid w:val="00437D34"/>
    <w:rsid w:val="0049311C"/>
    <w:rsid w:val="004C6743"/>
    <w:rsid w:val="004F1A96"/>
    <w:rsid w:val="004F59CB"/>
    <w:rsid w:val="0050535E"/>
    <w:rsid w:val="00543FDF"/>
    <w:rsid w:val="0059732E"/>
    <w:rsid w:val="006802D5"/>
    <w:rsid w:val="006A1338"/>
    <w:rsid w:val="00776A6C"/>
    <w:rsid w:val="0079665F"/>
    <w:rsid w:val="007B5D87"/>
    <w:rsid w:val="007B6DB5"/>
    <w:rsid w:val="007D238D"/>
    <w:rsid w:val="007E2B2F"/>
    <w:rsid w:val="00811534"/>
    <w:rsid w:val="009978CE"/>
    <w:rsid w:val="009A6768"/>
    <w:rsid w:val="009F2F79"/>
    <w:rsid w:val="00A13A64"/>
    <w:rsid w:val="00A31A68"/>
    <w:rsid w:val="00A457F6"/>
    <w:rsid w:val="00A748C5"/>
    <w:rsid w:val="00A85901"/>
    <w:rsid w:val="00AC1AB2"/>
    <w:rsid w:val="00AE475A"/>
    <w:rsid w:val="00B46FBC"/>
    <w:rsid w:val="00BA18FD"/>
    <w:rsid w:val="00BC12FB"/>
    <w:rsid w:val="00BD1851"/>
    <w:rsid w:val="00C00C49"/>
    <w:rsid w:val="00C200B7"/>
    <w:rsid w:val="00C275A9"/>
    <w:rsid w:val="00CA3CDE"/>
    <w:rsid w:val="00CC64AF"/>
    <w:rsid w:val="00D01446"/>
    <w:rsid w:val="00D231E0"/>
    <w:rsid w:val="00D35188"/>
    <w:rsid w:val="00D459B1"/>
    <w:rsid w:val="00DC686B"/>
    <w:rsid w:val="00E06632"/>
    <w:rsid w:val="00E11443"/>
    <w:rsid w:val="00E6048E"/>
    <w:rsid w:val="00EA1904"/>
    <w:rsid w:val="00F0578B"/>
    <w:rsid w:val="00F827C9"/>
    <w:rsid w:val="00F97387"/>
    <w:rsid w:val="00FC2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661B"/>
  <w15:chartTrackingRefBased/>
  <w15:docId w15:val="{E98A400B-DB08-B246-B6FB-09D1A66D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D7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26D71"/>
    <w:pPr>
      <w:jc w:val="center"/>
    </w:pPr>
    <w:rPr>
      <w:rFonts w:ascii="Verdana" w:hAnsi="Verdana"/>
      <w:sz w:val="18"/>
    </w:rPr>
  </w:style>
  <w:style w:type="character" w:customStyle="1" w:styleId="EndNoteBibliographyTitleChar">
    <w:name w:val="EndNote Bibliography Title Char"/>
    <w:basedOn w:val="DefaultParagraphFont"/>
    <w:link w:val="EndNoteBibliographyTitle"/>
    <w:rsid w:val="00426D71"/>
    <w:rPr>
      <w:rFonts w:ascii="Verdana" w:hAnsi="Verdana"/>
      <w:sz w:val="18"/>
    </w:rPr>
  </w:style>
  <w:style w:type="paragraph" w:customStyle="1" w:styleId="EndNoteBibliography">
    <w:name w:val="EndNote Bibliography"/>
    <w:basedOn w:val="Normal"/>
    <w:link w:val="EndNoteBibliographyChar"/>
    <w:rsid w:val="00426D71"/>
    <w:rPr>
      <w:rFonts w:ascii="Verdana" w:hAnsi="Verdana"/>
      <w:sz w:val="18"/>
    </w:rPr>
  </w:style>
  <w:style w:type="character" w:customStyle="1" w:styleId="EndNoteBibliographyChar">
    <w:name w:val="EndNote Bibliography Char"/>
    <w:basedOn w:val="DefaultParagraphFont"/>
    <w:link w:val="EndNoteBibliography"/>
    <w:rsid w:val="00426D71"/>
    <w:rPr>
      <w:rFonts w:ascii="Verdana" w:hAnsi="Verdana"/>
      <w:sz w:val="18"/>
    </w:rPr>
  </w:style>
  <w:style w:type="character" w:styleId="Hyperlink">
    <w:name w:val="Hyperlink"/>
    <w:basedOn w:val="DefaultParagraphFont"/>
    <w:uiPriority w:val="99"/>
    <w:unhideWhenUsed/>
    <w:rsid w:val="00426D71"/>
    <w:rPr>
      <w:color w:val="0563C1" w:themeColor="hyperlink"/>
      <w:u w:val="single"/>
    </w:rPr>
  </w:style>
  <w:style w:type="character" w:customStyle="1" w:styleId="UnresolvedMention1">
    <w:name w:val="Unresolved Mention1"/>
    <w:basedOn w:val="DefaultParagraphFont"/>
    <w:uiPriority w:val="99"/>
    <w:semiHidden/>
    <w:unhideWhenUsed/>
    <w:rsid w:val="0042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36/bmjopen-2014-004952" TargetMode="External"/><Relationship Id="rId3" Type="http://schemas.openxmlformats.org/officeDocument/2006/relationships/webSettings" Target="webSettings.xml"/><Relationship Id="rId7" Type="http://schemas.openxmlformats.org/officeDocument/2006/relationships/hyperlink" Target="https://isd.digital.nhs.uk/trud3/user/guest/group/0/pack/9/subpack/9/relea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d.digital.nhs.uk/trud3/user/guest/group/0/pack/9/subpack/9/releases" TargetMode="External"/><Relationship Id="rId11" Type="http://schemas.openxmlformats.org/officeDocument/2006/relationships/fontTable" Target="fontTable.xml"/><Relationship Id="rId5" Type="http://schemas.openxmlformats.org/officeDocument/2006/relationships/hyperlink" Target="http://doi.org/10.1093/ije/dyv098" TargetMode="External"/><Relationship Id="rId10" Type="http://schemas.openxmlformats.org/officeDocument/2006/relationships/hyperlink" Target="http://doi.org/10.2337/dc16-1616" TargetMode="External"/><Relationship Id="rId4" Type="http://schemas.openxmlformats.org/officeDocument/2006/relationships/image" Target="media/image1.tif"/><Relationship Id="rId9" Type="http://schemas.openxmlformats.org/officeDocument/2006/relationships/hyperlink" Target="http://doi.org/10.1007/s00125-014-3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1498</Words>
  <Characters>7509</Characters>
  <Application>Microsoft Office Word</Application>
  <DocSecurity>0</DocSecurity>
  <Lines>134</Lines>
  <Paragraphs>54</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Luanluan Sun</dc:creator>
  <cp:keywords/>
  <dc:description/>
  <cp:lastModifiedBy>Luanluan Sun</cp:lastModifiedBy>
  <cp:revision>7</cp:revision>
  <dcterms:created xsi:type="dcterms:W3CDTF">2020-05-19T08:52:00Z</dcterms:created>
  <dcterms:modified xsi:type="dcterms:W3CDTF">2020-12-10T12:13:00Z</dcterms:modified>
</cp:coreProperties>
</file>