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0" w:type="dxa"/>
        <w:tblLook w:val="04A0" w:firstRow="1" w:lastRow="0" w:firstColumn="1" w:lastColumn="0" w:noHBand="0" w:noVBand="1"/>
      </w:tblPr>
      <w:tblGrid>
        <w:gridCol w:w="7161"/>
        <w:gridCol w:w="3933"/>
        <w:gridCol w:w="3226"/>
        <w:gridCol w:w="10"/>
      </w:tblGrid>
      <w:tr w:rsidR="00890378" w:rsidRPr="00515752" w14:paraId="419FF7DB" w14:textId="77777777" w:rsidTr="005E6FB4">
        <w:trPr>
          <w:trHeight w:val="67"/>
        </w:trPr>
        <w:tc>
          <w:tcPr>
            <w:tcW w:w="14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BFEEF" w14:textId="77777777" w:rsidR="00890378" w:rsidRPr="00515752" w:rsidRDefault="00890378" w:rsidP="005E6FB4">
            <w:pPr>
              <w:spacing w:line="240" w:lineRule="exact"/>
              <w:rPr>
                <w:rFonts w:ascii="Verdana" w:hAnsi="Verdana" w:cs="Arial"/>
                <w:b/>
                <w:sz w:val="20"/>
                <w:lang w:eastAsia="en-GB"/>
              </w:rPr>
            </w:pPr>
            <w:r>
              <w:rPr>
                <w:rFonts w:ascii="Verdana" w:hAnsi="Verdana" w:cs="Arial"/>
                <w:b/>
                <w:sz w:val="20"/>
                <w:lang w:eastAsia="en-GB"/>
              </w:rPr>
              <w:t>S</w:t>
            </w:r>
            <w:r w:rsidRPr="00515752">
              <w:rPr>
                <w:rFonts w:ascii="Verdana" w:hAnsi="Verdana" w:cs="Arial"/>
                <w:b/>
                <w:sz w:val="20"/>
                <w:lang w:eastAsia="en-GB"/>
              </w:rPr>
              <w:t>7</w:t>
            </w:r>
            <w:r>
              <w:rPr>
                <w:rFonts w:ascii="Verdana" w:hAnsi="Verdana" w:cs="Arial"/>
                <w:b/>
                <w:sz w:val="20"/>
                <w:lang w:eastAsia="en-GB"/>
              </w:rPr>
              <w:t xml:space="preserve"> Table.</w:t>
            </w:r>
            <w:r w:rsidRPr="00515752">
              <w:rPr>
                <w:rFonts w:ascii="Verdana" w:hAnsi="Verdana" w:cs="Arial"/>
                <w:b/>
                <w:sz w:val="20"/>
                <w:lang w:eastAsia="en-GB"/>
              </w:rPr>
              <w:t xml:space="preserve"> Incremental predictive ability of polygenic risk scores, and C-reactive protein, above the updated Pooled Cohort Equations score (PCE)</w:t>
            </w:r>
          </w:p>
        </w:tc>
      </w:tr>
      <w:tr w:rsidR="00890378" w:rsidRPr="00515752" w14:paraId="3015B7AD" w14:textId="77777777" w:rsidTr="005E6FB4">
        <w:trPr>
          <w:gridAfter w:val="1"/>
          <w:wAfter w:w="10" w:type="dxa"/>
          <w:trHeight w:val="67"/>
        </w:trPr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0F46F04" w14:textId="77777777" w:rsidR="00890378" w:rsidRPr="00515752" w:rsidRDefault="00890378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b/>
                <w:sz w:val="18"/>
                <w:szCs w:val="16"/>
                <w:lang w:eastAsia="en-GB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C53B9DB" w14:textId="77777777" w:rsidR="00890378" w:rsidRPr="00515752" w:rsidRDefault="00890378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b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b/>
                <w:color w:val="000000"/>
                <w:sz w:val="18"/>
                <w:szCs w:val="16"/>
                <w:lang w:eastAsia="en-GB"/>
              </w:rPr>
              <w:t>C-index</w:t>
            </w:r>
          </w:p>
          <w:p w14:paraId="230DD263" w14:textId="77777777" w:rsidR="00890378" w:rsidRPr="00515752" w:rsidRDefault="00890378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b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b/>
                <w:color w:val="000000"/>
                <w:sz w:val="18"/>
                <w:szCs w:val="16"/>
                <w:lang w:eastAsia="en-GB"/>
              </w:rPr>
              <w:t>(95% CI)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44CF2E9" w14:textId="77777777" w:rsidR="00890378" w:rsidRPr="00515752" w:rsidRDefault="00890378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b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b/>
                <w:color w:val="000000"/>
                <w:sz w:val="18"/>
                <w:szCs w:val="16"/>
                <w:lang w:eastAsia="en-GB"/>
              </w:rPr>
              <w:t>C-index changes</w:t>
            </w:r>
          </w:p>
          <w:p w14:paraId="770FB167" w14:textId="77777777" w:rsidR="00890378" w:rsidRPr="00515752" w:rsidRDefault="00890378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b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b/>
                <w:color w:val="000000"/>
                <w:sz w:val="18"/>
                <w:szCs w:val="16"/>
                <w:lang w:eastAsia="en-GB"/>
              </w:rPr>
              <w:t>(95% CI)</w:t>
            </w:r>
          </w:p>
        </w:tc>
      </w:tr>
      <w:tr w:rsidR="00890378" w:rsidRPr="00515752" w14:paraId="3A2C0F5B" w14:textId="77777777" w:rsidTr="005E6FB4">
        <w:trPr>
          <w:gridAfter w:val="1"/>
          <w:wAfter w:w="10" w:type="dxa"/>
          <w:trHeight w:val="67"/>
        </w:trPr>
        <w:tc>
          <w:tcPr>
            <w:tcW w:w="7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43A0B" w14:textId="77777777" w:rsidR="00890378" w:rsidRPr="00515752" w:rsidRDefault="00890378" w:rsidP="005E6FB4">
            <w:pPr>
              <w:spacing w:before="240" w:after="240" w:line="320" w:lineRule="exact"/>
              <w:contextualSpacing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PCE 2013 (i.e., the published algorithm)*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39BCE" w14:textId="77777777" w:rsidR="00890378" w:rsidRPr="00515752" w:rsidRDefault="00890378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0.708 (0.701, 0.715)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CDF37" w14:textId="77777777" w:rsidR="00890378" w:rsidRPr="00515752" w:rsidRDefault="00890378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Reference</w:t>
            </w:r>
          </w:p>
        </w:tc>
      </w:tr>
      <w:tr w:rsidR="00890378" w:rsidRPr="00515752" w14:paraId="5A3FFAAF" w14:textId="77777777" w:rsidTr="005E6FB4">
        <w:trPr>
          <w:gridAfter w:val="1"/>
          <w:wAfter w:w="10" w:type="dxa"/>
          <w:trHeight w:val="67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5EFBF" w14:textId="74722378" w:rsidR="00890378" w:rsidRPr="00515752" w:rsidRDefault="00890378" w:rsidP="005E6FB4">
            <w:pPr>
              <w:spacing w:before="240" w:after="240" w:line="320" w:lineRule="exact"/>
              <w:contextualSpacing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PCE, plus C-rea</w:t>
            </w:r>
            <w:r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c</w:t>
            </w: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tive protein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B5C7C" w14:textId="77777777" w:rsidR="00890378" w:rsidRPr="00515752" w:rsidRDefault="00890378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0.713 (0.706, 0.720)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7E2AD" w14:textId="77777777" w:rsidR="00890378" w:rsidRPr="00515752" w:rsidRDefault="00890378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0.005 (0.004, 0.007)</w:t>
            </w:r>
          </w:p>
        </w:tc>
      </w:tr>
      <w:tr w:rsidR="00890378" w:rsidRPr="00515752" w14:paraId="6BE57B6D" w14:textId="77777777" w:rsidTr="005E6FB4">
        <w:trPr>
          <w:gridAfter w:val="1"/>
          <w:wAfter w:w="10" w:type="dxa"/>
          <w:trHeight w:val="67"/>
        </w:trPr>
        <w:tc>
          <w:tcPr>
            <w:tcW w:w="7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8104BB" w14:textId="77777777" w:rsidR="00890378" w:rsidRPr="00515752" w:rsidRDefault="00890378" w:rsidP="005E6FB4">
            <w:pPr>
              <w:spacing w:before="240" w:after="240" w:line="320" w:lineRule="exact"/>
              <w:contextualSpacing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PCE, plus PRSs</w:t>
            </w:r>
          </w:p>
        </w:tc>
        <w:tc>
          <w:tcPr>
            <w:tcW w:w="3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9F6F1F" w14:textId="77777777" w:rsidR="00890378" w:rsidRPr="00515752" w:rsidRDefault="00890378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0.721 (0.714, 0.728)</w:t>
            </w:r>
          </w:p>
        </w:tc>
        <w:tc>
          <w:tcPr>
            <w:tcW w:w="3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76D565" w14:textId="77777777" w:rsidR="00890378" w:rsidRPr="00515752" w:rsidRDefault="00890378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0.013 (0.011, 0.016)</w:t>
            </w:r>
          </w:p>
        </w:tc>
      </w:tr>
      <w:tr w:rsidR="00890378" w:rsidRPr="00515752" w14:paraId="772D78D9" w14:textId="77777777" w:rsidTr="005E6FB4">
        <w:trPr>
          <w:gridAfter w:val="1"/>
          <w:wAfter w:w="10" w:type="dxa"/>
          <w:trHeight w:val="67"/>
        </w:trPr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CE87A" w14:textId="5DDFF977" w:rsidR="00890378" w:rsidRPr="00515752" w:rsidRDefault="00890378" w:rsidP="005E6FB4">
            <w:pPr>
              <w:spacing w:before="240" w:after="240" w:line="320" w:lineRule="exact"/>
              <w:contextualSpacing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PCE, plus C-reactive prot</w:t>
            </w:r>
            <w:r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e</w:t>
            </w: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in, and PRSs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F6F1B" w14:textId="77777777" w:rsidR="00890378" w:rsidRPr="00515752" w:rsidRDefault="00890378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0.725 (0.718, 0.731)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C63008" w14:textId="77777777" w:rsidR="00890378" w:rsidRPr="00515752" w:rsidRDefault="00890378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0.017 (0.015, 0.020)</w:t>
            </w:r>
          </w:p>
        </w:tc>
      </w:tr>
      <w:tr w:rsidR="00890378" w:rsidRPr="00515752" w14:paraId="1CE9143A" w14:textId="77777777" w:rsidTr="005E6FB4">
        <w:trPr>
          <w:gridAfter w:val="1"/>
          <w:wAfter w:w="10" w:type="dxa"/>
          <w:trHeight w:val="67"/>
        </w:trPr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268203C9" w14:textId="77777777" w:rsidR="00890378" w:rsidRPr="00515752" w:rsidRDefault="00890378" w:rsidP="005E6FB4">
            <w:pPr>
              <w:spacing w:before="240" w:after="240" w:line="320" w:lineRule="exact"/>
              <w:contextualSpacing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64D7FFAC" w14:textId="77777777" w:rsidR="00890378" w:rsidRPr="00515752" w:rsidRDefault="00890378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D785887" w14:textId="77777777" w:rsidR="00890378" w:rsidRPr="00515752" w:rsidRDefault="00890378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</w:p>
        </w:tc>
      </w:tr>
      <w:tr w:rsidR="00890378" w:rsidRPr="00515752" w14:paraId="4599335E" w14:textId="77777777" w:rsidTr="005E6FB4">
        <w:trPr>
          <w:gridAfter w:val="1"/>
          <w:wAfter w:w="10" w:type="dxa"/>
          <w:trHeight w:val="67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9BF1A" w14:textId="77777777" w:rsidR="00890378" w:rsidRPr="00515752" w:rsidRDefault="00890378" w:rsidP="005E6FB4">
            <w:pPr>
              <w:spacing w:before="240" w:after="240" w:line="320" w:lineRule="exact"/>
              <w:contextualSpacing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PCE variables**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50D9A" w14:textId="77777777" w:rsidR="00890378" w:rsidRPr="00515752" w:rsidRDefault="00890378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0.712 (0.705, 0.719)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7BFE2" w14:textId="77777777" w:rsidR="00890378" w:rsidRPr="00515752" w:rsidRDefault="00890378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Reference</w:t>
            </w:r>
          </w:p>
        </w:tc>
      </w:tr>
      <w:tr w:rsidR="00890378" w:rsidRPr="00515752" w14:paraId="6EE8D6F2" w14:textId="77777777" w:rsidTr="005E6FB4">
        <w:trPr>
          <w:gridAfter w:val="1"/>
          <w:wAfter w:w="10" w:type="dxa"/>
          <w:trHeight w:val="67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47724" w14:textId="77777777" w:rsidR="00890378" w:rsidRPr="00515752" w:rsidRDefault="00890378" w:rsidP="005E6FB4">
            <w:pPr>
              <w:spacing w:before="240" w:after="240" w:line="320" w:lineRule="exact"/>
              <w:contextualSpacing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PCE variables, plus C-reactive protein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B5953" w14:textId="77777777" w:rsidR="00890378" w:rsidRPr="00515752" w:rsidRDefault="00890378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0.715 (0.709, 0.722)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E964C" w14:textId="77777777" w:rsidR="00890378" w:rsidRPr="00515752" w:rsidRDefault="00890378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0.004 (0.002, 0.005)</w:t>
            </w:r>
          </w:p>
        </w:tc>
      </w:tr>
      <w:tr w:rsidR="00890378" w:rsidRPr="00515752" w14:paraId="35174740" w14:textId="77777777" w:rsidTr="005E6FB4">
        <w:trPr>
          <w:gridAfter w:val="1"/>
          <w:wAfter w:w="10" w:type="dxa"/>
          <w:trHeight w:val="67"/>
        </w:trPr>
        <w:tc>
          <w:tcPr>
            <w:tcW w:w="7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8AED22" w14:textId="77777777" w:rsidR="00890378" w:rsidRPr="00515752" w:rsidRDefault="00890378" w:rsidP="005E6FB4">
            <w:pPr>
              <w:spacing w:before="240" w:after="240" w:line="320" w:lineRule="exact"/>
              <w:contextualSpacing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PCE variables, plus PRSs</w:t>
            </w:r>
          </w:p>
        </w:tc>
        <w:tc>
          <w:tcPr>
            <w:tcW w:w="3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B82EDB" w14:textId="77777777" w:rsidR="00890378" w:rsidRPr="00515752" w:rsidRDefault="00890378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0.723 (0.716, 0.730)</w:t>
            </w:r>
          </w:p>
        </w:tc>
        <w:tc>
          <w:tcPr>
            <w:tcW w:w="3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EA6AFD" w14:textId="77777777" w:rsidR="00890378" w:rsidRPr="00515752" w:rsidRDefault="00890378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0.012 (0.009, 0.014)</w:t>
            </w:r>
          </w:p>
        </w:tc>
      </w:tr>
      <w:tr w:rsidR="00890378" w:rsidRPr="00515752" w14:paraId="71F553D3" w14:textId="77777777" w:rsidTr="005E6FB4">
        <w:trPr>
          <w:gridAfter w:val="1"/>
          <w:wAfter w:w="10" w:type="dxa"/>
          <w:trHeight w:val="67"/>
        </w:trPr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525D6" w14:textId="7B32908A" w:rsidR="00890378" w:rsidRPr="00515752" w:rsidRDefault="00890378" w:rsidP="005E6FB4">
            <w:pPr>
              <w:spacing w:before="240" w:after="240" w:line="320" w:lineRule="exact"/>
              <w:contextualSpacing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PCE variables, plus C-reactive prot</w:t>
            </w:r>
            <w:r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e</w:t>
            </w: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in, and PRSs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95671" w14:textId="77777777" w:rsidR="00890378" w:rsidRPr="00515752" w:rsidRDefault="00890378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0.727 (0.720, 0.733)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5DC68" w14:textId="77777777" w:rsidR="00890378" w:rsidRPr="00515752" w:rsidRDefault="00890378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8"/>
                <w:szCs w:val="16"/>
                <w:lang w:eastAsia="en-GB"/>
              </w:rPr>
              <w:t>0.015 (0.012, 0.018)</w:t>
            </w:r>
          </w:p>
        </w:tc>
      </w:tr>
      <w:tr w:rsidR="00890378" w:rsidRPr="00515752" w14:paraId="1E23DB3D" w14:textId="77777777" w:rsidTr="005E6FB4">
        <w:trPr>
          <w:trHeight w:val="623"/>
        </w:trPr>
        <w:tc>
          <w:tcPr>
            <w:tcW w:w="143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9DC1E2" w14:textId="301C1ECA" w:rsidR="00890378" w:rsidRPr="00515752" w:rsidRDefault="00890378" w:rsidP="005E6FB4">
            <w:pPr>
              <w:contextualSpacing/>
              <w:rPr>
                <w:rFonts w:ascii="Verdana" w:hAnsi="Verdana" w:cs="Arial"/>
                <w:color w:val="000000"/>
                <w:sz w:val="14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4"/>
                <w:szCs w:val="16"/>
                <w:lang w:eastAsia="en-GB"/>
              </w:rPr>
              <w:t xml:space="preserve">*The PCE score for study participants in UK Biobank was calculated using the updated pooled cohort </w:t>
            </w:r>
            <w:r>
              <w:rPr>
                <w:rFonts w:ascii="Verdana" w:hAnsi="Verdana" w:cs="Arial"/>
                <w:color w:val="000000"/>
                <w:sz w:val="14"/>
                <w:szCs w:val="16"/>
                <w:lang w:eastAsia="en-GB"/>
              </w:rPr>
              <w:t xml:space="preserve">equations </w:t>
            </w:r>
            <w:r w:rsidRPr="00515752">
              <w:rPr>
                <w:rFonts w:ascii="Verdana" w:hAnsi="Verdana" w:cs="Arial"/>
                <w:color w:val="000000"/>
                <w:sz w:val="14"/>
                <w:szCs w:val="16"/>
                <w:lang w:eastAsia="en-GB"/>
              </w:rPr>
              <w:t>score, i.e., the weights for each constituent predictor variable, as previously published</w:t>
            </w:r>
            <w:r>
              <w:rPr>
                <w:rFonts w:ascii="Verdana" w:hAnsi="Verdana" w:cs="Arial"/>
                <w:color w:val="000000"/>
                <w:sz w:val="14"/>
                <w:szCs w:val="16"/>
                <w:lang w:eastAsia="en-GB"/>
              </w:rPr>
              <w:t> </w:t>
            </w:r>
            <w:r w:rsidRPr="00515752">
              <w:rPr>
                <w:rFonts w:ascii="Verdana" w:hAnsi="Verdana" w:cs="Arial"/>
                <w:color w:val="000000"/>
                <w:sz w:val="14"/>
                <w:szCs w:val="16"/>
                <w:lang w:eastAsia="en-GB"/>
              </w:rPr>
              <w:fldChar w:fldCharType="begin"/>
            </w:r>
            <w:r>
              <w:rPr>
                <w:rFonts w:ascii="Verdana" w:hAnsi="Verdana" w:cs="Arial"/>
                <w:color w:val="000000"/>
                <w:sz w:val="14"/>
                <w:szCs w:val="16"/>
                <w:lang w:eastAsia="en-GB"/>
              </w:rPr>
              <w:instrText xml:space="preserve"> ADDIN EN.CITE &lt;EndNote&gt;&lt;Cite&gt;&lt;Author&gt;Stone Neil&lt;/Author&gt;&lt;Year&gt;2014&lt;/Year&gt;&lt;RecNum&gt;56&lt;/RecNum&gt;&lt;DisplayText&gt;[1]&lt;/DisplayText&gt;&lt;record&gt;&lt;rec-number&gt;56&lt;/rec-number&gt;&lt;foreign-keys&gt;&lt;key app="EN" db-id="2za9xxztv0w0toepvzo595vxadavdaa29vew" timestamp="1551562087"&gt;56&lt;/key&gt;&lt;/foreign-keys&gt;&lt;ref-type name="Journal Article"&gt;17&lt;/ref-type&gt;&lt;contributors&gt;&lt;authors&gt;&lt;author&gt;Stone Neil, J.&lt;/author&gt;&lt;author&gt;Robinson Jennifer, G.&lt;/author&gt;&lt;author&gt;Lichtenstein Alice, H.&lt;/author&gt;&lt;author&gt;Bairey Merz, C. Noel&lt;/author&gt;&lt;author&gt;Blum Conrad, B.&lt;/author&gt;&lt;author&gt;Eckel Robert, H.&lt;/author&gt;&lt;author&gt;Goldberg Anne, C.&lt;/author&gt;&lt;author&gt;Gordon, David&lt;/author&gt;&lt;author&gt;Levy, Daniel&lt;/author&gt;&lt;author&gt;Lloyd-Jones Donald, M.&lt;/author&gt;&lt;author&gt;McBride, Patrick&lt;/author&gt;&lt;author&gt;Schwartz, J. Sanford&lt;/author&gt;&lt;author&gt;Shero Susan, T.&lt;/author&gt;&lt;author&gt;Smith Sidney, C.&lt;/author&gt;&lt;author&gt;Watson, Karol&lt;/author&gt;&lt;author&gt;Wilson Peter, W. F.&lt;/author&gt;&lt;/authors&gt;&lt;/contributors&gt;&lt;titles&gt;&lt;title&gt;2013 ACC/AHA Guideline on the Treatment of Blood Cholesterol to Reduce Atherosclerotic Cardiovascular Risk in Adults&lt;/title&gt;&lt;secondary-title&gt;Circulation&lt;/secondary-title&gt;&lt;/titles&gt;&lt;periodical&gt;&lt;full-title&gt;Circulation&lt;/full-title&gt;&lt;/periodical&gt;&lt;pages&gt;S1-S45&lt;/pages&gt;&lt;volume&gt;129&lt;/volume&gt;&lt;number&gt;25_suppl_2&lt;/number&gt;&lt;dates&gt;&lt;year&gt;2014&lt;/year&gt;&lt;pub-dates&gt;&lt;date&gt;2014/06/24&lt;/date&gt;&lt;/pub-dates&gt;&lt;/dates&gt;&lt;publisher&gt;American Heart Association&lt;/publisher&gt;&lt;accession-num&gt;24222016&lt;/accession-num&gt;&lt;urls&gt;&lt;related-urls&gt;&lt;url&gt;https://doi.org/10.1161/01.cir.0000437738.63853.7a&lt;/url&gt;&lt;/related-urls&gt;&lt;/urls&gt;&lt;electronic-resource-num&gt;http://doi.org/10.1161/01.cir.0000437738.63853.7a&lt;/electronic-resource-num&gt;&lt;access-date&gt;2019/03/02&lt;/access-date&gt;&lt;/record&gt;&lt;/Cite&gt;&lt;/EndNote&gt;</w:instrText>
            </w:r>
            <w:r w:rsidRPr="00515752">
              <w:rPr>
                <w:rFonts w:ascii="Verdana" w:hAnsi="Verdana" w:cs="Arial"/>
                <w:color w:val="000000"/>
                <w:sz w:val="14"/>
                <w:szCs w:val="16"/>
                <w:lang w:eastAsia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14"/>
                <w:szCs w:val="16"/>
                <w:lang w:eastAsia="en-GB"/>
              </w:rPr>
              <w:t>[1]</w:t>
            </w:r>
            <w:r w:rsidRPr="00515752">
              <w:rPr>
                <w:rFonts w:ascii="Verdana" w:hAnsi="Verdana" w:cs="Arial"/>
                <w:color w:val="000000"/>
                <w:sz w:val="14"/>
                <w:szCs w:val="16"/>
                <w:lang w:eastAsia="en-GB"/>
              </w:rPr>
              <w:fldChar w:fldCharType="end"/>
            </w:r>
            <w:r w:rsidRPr="00515752">
              <w:rPr>
                <w:rFonts w:ascii="Verdana" w:hAnsi="Verdana" w:cs="Arial"/>
                <w:color w:val="000000"/>
                <w:sz w:val="14"/>
                <w:szCs w:val="16"/>
                <w:lang w:eastAsia="en-GB"/>
              </w:rPr>
              <w:t>.**PCE variables include</w:t>
            </w:r>
            <w:bookmarkStart w:id="0" w:name="_GoBack"/>
            <w:bookmarkEnd w:id="0"/>
            <w:r w:rsidRPr="00515752">
              <w:rPr>
                <w:rFonts w:ascii="Verdana" w:hAnsi="Verdana" w:cs="Arial"/>
                <w:color w:val="000000"/>
                <w:sz w:val="14"/>
                <w:szCs w:val="16"/>
                <w:lang w:eastAsia="en-GB"/>
              </w:rPr>
              <w:t xml:space="preserve">d age at baseline, sex, smoking status, history of diabetes, systolic blood pressure, total cholesterol, HDL-cholesterol, ethnicity, and treatment of high blood pressure, weighted by the Cox regression coefficients estimated in UK Biobank. </w:t>
            </w:r>
            <w:r w:rsidRPr="00515752">
              <w:rPr>
                <w:rFonts w:ascii="Verdana" w:hAnsi="Verdana" w:cs="Arial"/>
                <w:sz w:val="14"/>
                <w:szCs w:val="16"/>
              </w:rPr>
              <w:t xml:space="preserve">Polygenic risk scores included the polygenic risk score for CHD, and the one for ischaemic stroke (see </w:t>
            </w:r>
            <w:r w:rsidRPr="00515752">
              <w:rPr>
                <w:rFonts w:ascii="Verdana" w:hAnsi="Verdana" w:cs="Arial"/>
                <w:b/>
                <w:sz w:val="14"/>
                <w:szCs w:val="16"/>
              </w:rPr>
              <w:t>Fig 2</w:t>
            </w:r>
            <w:r w:rsidRPr="00515752">
              <w:rPr>
                <w:rFonts w:ascii="Verdana" w:hAnsi="Verdana" w:cs="Arial"/>
                <w:sz w:val="14"/>
                <w:szCs w:val="16"/>
              </w:rPr>
              <w:t>) as two linear predictors in the model throughout.</w:t>
            </w:r>
          </w:p>
        </w:tc>
      </w:tr>
    </w:tbl>
    <w:p w14:paraId="7D2F3C24" w14:textId="77777777" w:rsidR="00890378" w:rsidRDefault="00890378"/>
    <w:p w14:paraId="187710DF" w14:textId="6DDB3985" w:rsidR="00890378" w:rsidRPr="00984290" w:rsidRDefault="00890378">
      <w:pPr>
        <w:rPr>
          <w:rFonts w:ascii="Verdana" w:hAnsi="Verdana"/>
          <w:b/>
          <w:sz w:val="16"/>
        </w:rPr>
      </w:pPr>
      <w:r w:rsidRPr="00984290">
        <w:rPr>
          <w:rFonts w:ascii="Verdana" w:hAnsi="Verdana"/>
          <w:b/>
          <w:sz w:val="16"/>
        </w:rPr>
        <w:t>Reference:</w:t>
      </w:r>
    </w:p>
    <w:p w14:paraId="5BD99936" w14:textId="77777777" w:rsidR="00890378" w:rsidRPr="00984290" w:rsidRDefault="00890378" w:rsidP="00984290">
      <w:pPr>
        <w:pStyle w:val="EndNoteBibliography"/>
        <w:rPr>
          <w:rFonts w:ascii="Verdana" w:hAnsi="Verdana"/>
          <w:noProof/>
          <w:sz w:val="16"/>
        </w:rPr>
      </w:pPr>
      <w:r w:rsidRPr="00984290">
        <w:rPr>
          <w:rFonts w:ascii="Verdana" w:hAnsi="Verdana"/>
          <w:sz w:val="16"/>
        </w:rPr>
        <w:fldChar w:fldCharType="begin"/>
      </w:r>
      <w:r w:rsidRPr="00984290">
        <w:rPr>
          <w:rFonts w:ascii="Verdana" w:hAnsi="Verdana"/>
          <w:sz w:val="16"/>
        </w:rPr>
        <w:instrText xml:space="preserve"> ADDIN EN.REFLIST </w:instrText>
      </w:r>
      <w:r w:rsidRPr="00984290">
        <w:rPr>
          <w:rFonts w:ascii="Verdana" w:hAnsi="Verdana"/>
          <w:sz w:val="16"/>
        </w:rPr>
        <w:fldChar w:fldCharType="separate"/>
      </w:r>
      <w:r w:rsidRPr="00984290">
        <w:rPr>
          <w:rFonts w:ascii="Verdana" w:hAnsi="Verdana"/>
          <w:noProof/>
          <w:sz w:val="16"/>
        </w:rPr>
        <w:t>1.</w:t>
      </w:r>
      <w:r w:rsidRPr="00984290">
        <w:rPr>
          <w:rFonts w:ascii="Verdana" w:hAnsi="Verdana"/>
          <w:noProof/>
          <w:sz w:val="16"/>
        </w:rPr>
        <w:tab/>
        <w:t>Stone Neil J, Robinson Jennifer G, Lichtenstein Alice H, Bairey Merz CN, Blum Conrad B, Eckel Robert H, et al. 2013 ACC/AHA Guideline on the Treatment of Blood Cholesterol to Reduce Atherosclerotic Cardiovascular Risk in Adults. Circulation. 2014;129(25_suppl_2):S1-S45. doi: http://doi.org/10.1161/01.cir.0000437738.63853.7a. PubMed PMID: 24222016.</w:t>
      </w:r>
    </w:p>
    <w:p w14:paraId="3792DE8E" w14:textId="37A1F8FB" w:rsidR="00D459B1" w:rsidRDefault="00890378">
      <w:r w:rsidRPr="00984290">
        <w:rPr>
          <w:rFonts w:ascii="Verdana" w:hAnsi="Verdana"/>
          <w:sz w:val="16"/>
        </w:rPr>
        <w:fldChar w:fldCharType="end"/>
      </w:r>
    </w:p>
    <w:sectPr w:rsidR="00D459B1" w:rsidSect="00890378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LoS_No_Spa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90378"/>
    <w:rsid w:val="00086952"/>
    <w:rsid w:val="000931A6"/>
    <w:rsid w:val="000F375A"/>
    <w:rsid w:val="0010218E"/>
    <w:rsid w:val="0015547B"/>
    <w:rsid w:val="00176BC7"/>
    <w:rsid w:val="001B621C"/>
    <w:rsid w:val="001D7A0D"/>
    <w:rsid w:val="00270602"/>
    <w:rsid w:val="002F4BD1"/>
    <w:rsid w:val="0030032E"/>
    <w:rsid w:val="0039754F"/>
    <w:rsid w:val="003C2DDB"/>
    <w:rsid w:val="003C61AE"/>
    <w:rsid w:val="003E25DF"/>
    <w:rsid w:val="00437D34"/>
    <w:rsid w:val="00460E06"/>
    <w:rsid w:val="0049311C"/>
    <w:rsid w:val="004C6743"/>
    <w:rsid w:val="004F1A96"/>
    <w:rsid w:val="004F59CB"/>
    <w:rsid w:val="0050535E"/>
    <w:rsid w:val="00543FDF"/>
    <w:rsid w:val="0059732E"/>
    <w:rsid w:val="005C22C4"/>
    <w:rsid w:val="0063295A"/>
    <w:rsid w:val="006802D5"/>
    <w:rsid w:val="006A1338"/>
    <w:rsid w:val="00776A6C"/>
    <w:rsid w:val="0079665F"/>
    <w:rsid w:val="007B5D87"/>
    <w:rsid w:val="007B6DB5"/>
    <w:rsid w:val="007C4DA7"/>
    <w:rsid w:val="007E2B2F"/>
    <w:rsid w:val="00811534"/>
    <w:rsid w:val="00811B25"/>
    <w:rsid w:val="008407BB"/>
    <w:rsid w:val="00890378"/>
    <w:rsid w:val="008B3660"/>
    <w:rsid w:val="008D3E10"/>
    <w:rsid w:val="00984290"/>
    <w:rsid w:val="0098709B"/>
    <w:rsid w:val="00990E9A"/>
    <w:rsid w:val="009978CE"/>
    <w:rsid w:val="009F2F79"/>
    <w:rsid w:val="00A11987"/>
    <w:rsid w:val="00A13A64"/>
    <w:rsid w:val="00A31A68"/>
    <w:rsid w:val="00A457F6"/>
    <w:rsid w:val="00A85901"/>
    <w:rsid w:val="00AC1AB2"/>
    <w:rsid w:val="00AE475A"/>
    <w:rsid w:val="00B46FBC"/>
    <w:rsid w:val="00B6175F"/>
    <w:rsid w:val="00BA18FD"/>
    <w:rsid w:val="00BC12FB"/>
    <w:rsid w:val="00BD12D5"/>
    <w:rsid w:val="00BD1851"/>
    <w:rsid w:val="00C00C49"/>
    <w:rsid w:val="00C07B64"/>
    <w:rsid w:val="00C22D5C"/>
    <w:rsid w:val="00C275A9"/>
    <w:rsid w:val="00CA3CDE"/>
    <w:rsid w:val="00CC64AF"/>
    <w:rsid w:val="00D01446"/>
    <w:rsid w:val="00D231E0"/>
    <w:rsid w:val="00D35188"/>
    <w:rsid w:val="00D4501D"/>
    <w:rsid w:val="00D459B1"/>
    <w:rsid w:val="00D53A3D"/>
    <w:rsid w:val="00D7225D"/>
    <w:rsid w:val="00DC686B"/>
    <w:rsid w:val="00DE3415"/>
    <w:rsid w:val="00DF0562"/>
    <w:rsid w:val="00DF28CC"/>
    <w:rsid w:val="00E06632"/>
    <w:rsid w:val="00E11443"/>
    <w:rsid w:val="00E571BF"/>
    <w:rsid w:val="00E6048E"/>
    <w:rsid w:val="00EA1904"/>
    <w:rsid w:val="00EB1F71"/>
    <w:rsid w:val="00EF1637"/>
    <w:rsid w:val="00F0578B"/>
    <w:rsid w:val="00F60050"/>
    <w:rsid w:val="00F827C9"/>
    <w:rsid w:val="00FA201D"/>
    <w:rsid w:val="00F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0672"/>
  <w15:chartTrackingRefBased/>
  <w15:docId w15:val="{A1130F69-E97E-F846-AC86-6E6CD160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3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3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78"/>
    <w:rPr>
      <w:rFonts w:ascii="Times New Roman" w:eastAsia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90378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890378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890378"/>
  </w:style>
  <w:style w:type="character" w:customStyle="1" w:styleId="EndNoteBibliographyChar">
    <w:name w:val="EndNote Bibliography Char"/>
    <w:basedOn w:val="DefaultParagraphFont"/>
    <w:link w:val="EndNoteBibliography"/>
    <w:rsid w:val="0089037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Luanluan Sun</dc:creator>
  <cp:keywords/>
  <dc:description/>
  <cp:lastModifiedBy>Luanluan Sun</cp:lastModifiedBy>
  <cp:revision>2</cp:revision>
  <dcterms:created xsi:type="dcterms:W3CDTF">2020-11-20T15:24:00Z</dcterms:created>
  <dcterms:modified xsi:type="dcterms:W3CDTF">2020-11-20T15:49:00Z</dcterms:modified>
</cp:coreProperties>
</file>