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17" w:rsidRPr="004B7917" w:rsidRDefault="004B7917" w:rsidP="004B7917">
      <w:pPr>
        <w:keepNext/>
        <w:rPr>
          <w:rFonts w:eastAsia="等线"/>
          <w:bCs/>
          <w:color w:val="000000"/>
          <w:szCs w:val="24"/>
        </w:rPr>
      </w:pPr>
      <w:r w:rsidRPr="004B7917">
        <w:rPr>
          <w:rFonts w:eastAsia="等线"/>
          <w:bCs/>
          <w:color w:val="000000"/>
          <w:szCs w:val="24"/>
        </w:rPr>
        <w:t>S</w:t>
      </w:r>
      <w:r w:rsidRPr="004B7917">
        <w:rPr>
          <w:rFonts w:eastAsia="等线"/>
          <w:bCs/>
          <w:color w:val="000000"/>
          <w:szCs w:val="24"/>
        </w:rPr>
        <w:fldChar w:fldCharType="begin"/>
      </w:r>
      <w:r w:rsidRPr="004B7917">
        <w:rPr>
          <w:rFonts w:eastAsia="等线"/>
          <w:bCs/>
          <w:color w:val="000000"/>
          <w:szCs w:val="24"/>
        </w:rPr>
        <w:instrText xml:space="preserve"> SEQ Table_S \* ARABIC </w:instrText>
      </w:r>
      <w:r w:rsidRPr="004B7917">
        <w:rPr>
          <w:rFonts w:eastAsia="等线"/>
          <w:bCs/>
          <w:color w:val="000000"/>
          <w:szCs w:val="24"/>
        </w:rPr>
        <w:fldChar w:fldCharType="separate"/>
      </w:r>
      <w:r w:rsidRPr="004B7917">
        <w:rPr>
          <w:rFonts w:eastAsia="等线"/>
          <w:bCs/>
          <w:noProof/>
          <w:color w:val="000000"/>
          <w:szCs w:val="24"/>
        </w:rPr>
        <w:t>3</w:t>
      </w:r>
      <w:r w:rsidRPr="004B7917">
        <w:rPr>
          <w:rFonts w:eastAsia="等线"/>
          <w:bCs/>
          <w:noProof/>
          <w:color w:val="000000"/>
          <w:szCs w:val="24"/>
        </w:rPr>
        <w:fldChar w:fldCharType="end"/>
      </w:r>
      <w:r>
        <w:rPr>
          <w:rFonts w:eastAsia="等线"/>
          <w:bCs/>
          <w:noProof/>
          <w:color w:val="000000"/>
          <w:szCs w:val="24"/>
        </w:rPr>
        <w:t xml:space="preserve"> </w:t>
      </w:r>
      <w:bookmarkStart w:id="0" w:name="_GoBack"/>
      <w:bookmarkEnd w:id="0"/>
      <w:r w:rsidRPr="004B7917">
        <w:rPr>
          <w:rFonts w:eastAsia="等线"/>
          <w:bCs/>
          <w:color w:val="000000"/>
          <w:szCs w:val="24"/>
        </w:rPr>
        <w:t>Table Estimated associations between PM</w:t>
      </w:r>
      <w:r w:rsidRPr="004B7917">
        <w:rPr>
          <w:rFonts w:eastAsia="等线"/>
          <w:bCs/>
          <w:color w:val="000000"/>
          <w:szCs w:val="24"/>
          <w:vertAlign w:val="subscript"/>
        </w:rPr>
        <w:t>2.5</w:t>
      </w:r>
      <w:r w:rsidRPr="004B7917">
        <w:rPr>
          <w:rFonts w:eastAsia="等线"/>
          <w:bCs/>
          <w:color w:val="000000"/>
          <w:szCs w:val="24"/>
        </w:rPr>
        <w:t xml:space="preserve"> and household expenditures by fixed-effects models with different sets of adjusted covariates.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2514"/>
        <w:gridCol w:w="2404"/>
        <w:gridCol w:w="2406"/>
      </w:tblGrid>
      <w:tr w:rsidR="004B7917" w:rsidRPr="004B7917" w:rsidTr="009C3B06">
        <w:trPr>
          <w:trHeight w:val="290"/>
          <w:jc w:val="center"/>
        </w:trPr>
        <w:tc>
          <w:tcPr>
            <w:tcW w:w="586" w:type="pct"/>
            <w:vMerge w:val="restart"/>
            <w:noWrap/>
            <w:vAlign w:val="center"/>
            <w:hideMark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Model</w:t>
            </w:r>
            <w:r w:rsidRPr="004B7917">
              <w:rPr>
                <w:rFonts w:eastAsia="等线"/>
                <w:vertAlign w:val="superscript"/>
              </w:rPr>
              <w:t>*</w:t>
            </w:r>
          </w:p>
        </w:tc>
        <w:tc>
          <w:tcPr>
            <w:tcW w:w="4414" w:type="pct"/>
            <w:gridSpan w:val="3"/>
            <w:noWrap/>
            <w:vAlign w:val="center"/>
            <w:hideMark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 xml:space="preserve">Expenditure per 10 </w:t>
            </w:r>
            <w:proofErr w:type="spellStart"/>
            <w:r w:rsidRPr="004B7917">
              <w:rPr>
                <w:rFonts w:eastAsia="等线"/>
              </w:rPr>
              <w:t>μg</w:t>
            </w:r>
            <w:proofErr w:type="spellEnd"/>
            <w:r w:rsidRPr="004B7917">
              <w:rPr>
                <w:rFonts w:eastAsia="等线"/>
              </w:rPr>
              <w:t>/m</w:t>
            </w:r>
            <w:r w:rsidRPr="004B7917">
              <w:rPr>
                <w:rFonts w:eastAsia="等线"/>
                <w:vertAlign w:val="superscript"/>
              </w:rPr>
              <w:t>3</w:t>
            </w:r>
            <w:r w:rsidRPr="004B7917">
              <w:rPr>
                <w:rFonts w:eastAsia="等线"/>
              </w:rPr>
              <w:t xml:space="preserve"> increment in PM</w:t>
            </w:r>
            <w:r w:rsidRPr="004B7917">
              <w:rPr>
                <w:rFonts w:eastAsia="等线"/>
                <w:vertAlign w:val="subscript"/>
              </w:rPr>
              <w:t>2.5</w:t>
            </w:r>
          </w:p>
        </w:tc>
      </w:tr>
      <w:tr w:rsidR="004B7917" w:rsidRPr="004B7917" w:rsidTr="009C3B06">
        <w:trPr>
          <w:trHeight w:val="280"/>
          <w:jc w:val="center"/>
        </w:trPr>
        <w:tc>
          <w:tcPr>
            <w:tcW w:w="586" w:type="pct"/>
            <w:vMerge/>
            <w:vAlign w:val="center"/>
            <w:hideMark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</w:rPr>
            </w:pPr>
          </w:p>
        </w:tc>
        <w:tc>
          <w:tcPr>
            <w:tcW w:w="1515" w:type="pct"/>
            <w:noWrap/>
            <w:vAlign w:val="center"/>
            <w:hideMark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Medical</w:t>
            </w:r>
          </w:p>
        </w:tc>
        <w:tc>
          <w:tcPr>
            <w:tcW w:w="1449" w:type="pct"/>
            <w:noWrap/>
            <w:vAlign w:val="center"/>
            <w:hideMark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Clothing</w:t>
            </w:r>
          </w:p>
        </w:tc>
        <w:tc>
          <w:tcPr>
            <w:tcW w:w="1450" w:type="pct"/>
            <w:noWrap/>
            <w:vAlign w:val="center"/>
            <w:hideMark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Recreation</w:t>
            </w:r>
          </w:p>
        </w:tc>
      </w:tr>
      <w:tr w:rsidR="004B7917" w:rsidRPr="004B7917" w:rsidTr="009C3B06">
        <w:trPr>
          <w:trHeight w:val="280"/>
          <w:jc w:val="center"/>
        </w:trPr>
        <w:tc>
          <w:tcPr>
            <w:tcW w:w="586" w:type="pct"/>
            <w:noWrap/>
            <w:vAlign w:val="center"/>
            <w:hideMark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1</w:t>
            </w:r>
          </w:p>
        </w:tc>
        <w:tc>
          <w:tcPr>
            <w:tcW w:w="1515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300.1 (82.6, 517.6)</w:t>
            </w:r>
          </w:p>
        </w:tc>
        <w:tc>
          <w:tcPr>
            <w:tcW w:w="1449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-10.1 (-40.9, 20.7)</w:t>
            </w:r>
          </w:p>
        </w:tc>
        <w:tc>
          <w:tcPr>
            <w:tcW w:w="1450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-21.0 (-84.5, 42.5)</w:t>
            </w:r>
          </w:p>
        </w:tc>
      </w:tr>
      <w:tr w:rsidR="004B7917" w:rsidRPr="004B7917" w:rsidTr="009C3B06">
        <w:trPr>
          <w:trHeight w:val="280"/>
          <w:jc w:val="center"/>
        </w:trPr>
        <w:tc>
          <w:tcPr>
            <w:tcW w:w="586" w:type="pct"/>
            <w:noWrap/>
            <w:vAlign w:val="center"/>
            <w:hideMark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2</w:t>
            </w:r>
          </w:p>
        </w:tc>
        <w:tc>
          <w:tcPr>
            <w:tcW w:w="1515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256.7 (34.2, 479.2)</w:t>
            </w:r>
          </w:p>
        </w:tc>
        <w:tc>
          <w:tcPr>
            <w:tcW w:w="1449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-5.3 (-36.9, 26.2)</w:t>
            </w:r>
          </w:p>
        </w:tc>
        <w:tc>
          <w:tcPr>
            <w:tcW w:w="1450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-15.0 (-80.0, 50.0)</w:t>
            </w:r>
          </w:p>
        </w:tc>
      </w:tr>
      <w:tr w:rsidR="004B7917" w:rsidRPr="004B7917" w:rsidTr="009C3B06">
        <w:trPr>
          <w:trHeight w:val="280"/>
          <w:jc w:val="center"/>
        </w:trPr>
        <w:tc>
          <w:tcPr>
            <w:tcW w:w="586" w:type="pct"/>
            <w:noWrap/>
            <w:vAlign w:val="center"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  <w:lang w:eastAsia="zh-CN"/>
              </w:rPr>
            </w:pPr>
            <w:r w:rsidRPr="004B7917">
              <w:rPr>
                <w:rFonts w:eastAsia="等线" w:hint="eastAsia"/>
                <w:lang w:eastAsia="zh-CN"/>
              </w:rPr>
              <w:t>3</w:t>
            </w:r>
          </w:p>
        </w:tc>
        <w:tc>
          <w:tcPr>
            <w:tcW w:w="1515" w:type="pct"/>
            <w:noWrap/>
            <w:vAlign w:val="center"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265.1 (42.3, 487.9)</w:t>
            </w:r>
          </w:p>
        </w:tc>
        <w:tc>
          <w:tcPr>
            <w:tcW w:w="1449" w:type="pct"/>
            <w:noWrap/>
            <w:vAlign w:val="center"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-4.5 (-36.0, 27.0)</w:t>
            </w:r>
          </w:p>
        </w:tc>
        <w:tc>
          <w:tcPr>
            <w:tcW w:w="1450" w:type="pct"/>
            <w:noWrap/>
            <w:vAlign w:val="center"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-12.3 (-77.4, 52.7)</w:t>
            </w:r>
          </w:p>
        </w:tc>
      </w:tr>
      <w:tr w:rsidR="004B7917" w:rsidRPr="004B7917" w:rsidTr="009C3B06">
        <w:trPr>
          <w:trHeight w:val="280"/>
          <w:jc w:val="center"/>
        </w:trPr>
        <w:tc>
          <w:tcPr>
            <w:tcW w:w="586" w:type="pct"/>
            <w:noWrap/>
            <w:vAlign w:val="center"/>
            <w:hideMark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4</w:t>
            </w:r>
          </w:p>
        </w:tc>
        <w:tc>
          <w:tcPr>
            <w:tcW w:w="1515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249.5 (26.5, 472.4)</w:t>
            </w:r>
          </w:p>
        </w:tc>
        <w:tc>
          <w:tcPr>
            <w:tcW w:w="1449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-4.8 (-36.3, 26.7)</w:t>
            </w:r>
          </w:p>
        </w:tc>
        <w:tc>
          <w:tcPr>
            <w:tcW w:w="1450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-11.9 (-77.0, 53.2)</w:t>
            </w:r>
          </w:p>
        </w:tc>
      </w:tr>
      <w:tr w:rsidR="004B7917" w:rsidRPr="004B7917" w:rsidTr="009C3B06">
        <w:trPr>
          <w:trHeight w:val="280"/>
          <w:jc w:val="center"/>
        </w:trPr>
        <w:tc>
          <w:tcPr>
            <w:tcW w:w="586" w:type="pct"/>
            <w:noWrap/>
            <w:vAlign w:val="center"/>
            <w:hideMark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5</w:t>
            </w:r>
          </w:p>
        </w:tc>
        <w:tc>
          <w:tcPr>
            <w:tcW w:w="1515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260.8 (38.1, 483.5)</w:t>
            </w:r>
          </w:p>
        </w:tc>
        <w:tc>
          <w:tcPr>
            <w:tcW w:w="1449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-4.7 (-36.2, 26.9)</w:t>
            </w:r>
          </w:p>
        </w:tc>
        <w:tc>
          <w:tcPr>
            <w:tcW w:w="1450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-13.5 (-78.6, 51.7)</w:t>
            </w:r>
          </w:p>
        </w:tc>
      </w:tr>
      <w:tr w:rsidR="004B7917" w:rsidRPr="004B7917" w:rsidTr="009C3B06">
        <w:trPr>
          <w:trHeight w:val="280"/>
          <w:jc w:val="center"/>
        </w:trPr>
        <w:tc>
          <w:tcPr>
            <w:tcW w:w="586" w:type="pct"/>
            <w:noWrap/>
            <w:vAlign w:val="center"/>
            <w:hideMark/>
          </w:tcPr>
          <w:p w:rsidR="004B7917" w:rsidRPr="004B7917" w:rsidRDefault="004B7917" w:rsidP="004B7917">
            <w:pPr>
              <w:spacing w:line="276" w:lineRule="auto"/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6</w:t>
            </w:r>
          </w:p>
        </w:tc>
        <w:tc>
          <w:tcPr>
            <w:tcW w:w="1515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253.1 (30.2, 476.0)</w:t>
            </w:r>
          </w:p>
        </w:tc>
        <w:tc>
          <w:tcPr>
            <w:tcW w:w="1449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-6.7 (-38.2, 24.9)</w:t>
            </w:r>
          </w:p>
        </w:tc>
        <w:tc>
          <w:tcPr>
            <w:tcW w:w="1450" w:type="pct"/>
            <w:noWrap/>
            <w:vAlign w:val="center"/>
            <w:hideMark/>
          </w:tcPr>
          <w:p w:rsidR="004B7917" w:rsidRPr="004B7917" w:rsidRDefault="004B7917" w:rsidP="004B7917">
            <w:pPr>
              <w:jc w:val="center"/>
              <w:rPr>
                <w:rFonts w:eastAsia="等线"/>
              </w:rPr>
            </w:pPr>
            <w:r w:rsidRPr="004B7917">
              <w:rPr>
                <w:rFonts w:eastAsia="等线"/>
              </w:rPr>
              <w:t>-12.4 (-77.6, 52.8)</w:t>
            </w:r>
          </w:p>
        </w:tc>
      </w:tr>
    </w:tbl>
    <w:p w:rsidR="004B7917" w:rsidRPr="004B7917" w:rsidRDefault="004B7917" w:rsidP="004B7917">
      <w:pPr>
        <w:ind w:left="284" w:hanging="284"/>
        <w:contextualSpacing/>
        <w:rPr>
          <w:rFonts w:eastAsia="等线"/>
        </w:rPr>
      </w:pPr>
      <w:r w:rsidRPr="004B7917">
        <w:rPr>
          <w:rFonts w:eastAsia="等线"/>
        </w:rPr>
        <w:t>*</w:t>
      </w:r>
      <w:r w:rsidRPr="004B7917">
        <w:rPr>
          <w:rFonts w:eastAsia="等线"/>
        </w:rPr>
        <w:tab/>
        <w:t>Model 1: Unadjusted model;</w:t>
      </w:r>
      <w:r w:rsidRPr="004B7917">
        <w:rPr>
          <w:rFonts w:eastAsia="等线"/>
        </w:rPr>
        <w:br/>
        <w:t>Model 2: Model 1 + nonlinear effect of temperature;</w:t>
      </w:r>
      <w:r w:rsidRPr="004B7917">
        <w:rPr>
          <w:rFonts w:eastAsia="等线"/>
        </w:rPr>
        <w:br/>
        <w:t>Model 3: Model 2 + household characteristics (residence, child</w:t>
      </w:r>
      <w:r w:rsidRPr="004B7917">
        <w:rPr>
          <w:rFonts w:eastAsia="微软雅黑"/>
        </w:rPr>
        <w:t>-</w:t>
      </w:r>
      <w:r w:rsidRPr="004B7917">
        <w:rPr>
          <w:rFonts w:eastAsia="等线"/>
        </w:rPr>
        <w:t>rearing, parent</w:t>
      </w:r>
      <w:r w:rsidRPr="004B7917">
        <w:rPr>
          <w:rFonts w:eastAsia="微软雅黑"/>
        </w:rPr>
        <w:t xml:space="preserve">al </w:t>
      </w:r>
      <w:r w:rsidRPr="004B7917">
        <w:rPr>
          <w:rFonts w:eastAsia="等线"/>
        </w:rPr>
        <w:t xml:space="preserve">care, number of member(s) who eat together, and </w:t>
      </w:r>
      <w:r w:rsidRPr="004B7917">
        <w:rPr>
          <w:rFonts w:eastAsia="等线"/>
          <w:color w:val="000000"/>
        </w:rPr>
        <w:t>per capita</w:t>
      </w:r>
      <w:r w:rsidRPr="004B7917">
        <w:rPr>
          <w:rFonts w:eastAsia="等线"/>
        </w:rPr>
        <w:t xml:space="preserve"> wage) + indoor risk factors (indoor temperature maintenance, smoking or drinking, cooking energy type, and heating energy type);</w:t>
      </w:r>
    </w:p>
    <w:p w:rsidR="004B7917" w:rsidRPr="004B7917" w:rsidRDefault="004B7917" w:rsidP="004B7917">
      <w:pPr>
        <w:ind w:left="284"/>
        <w:contextualSpacing/>
        <w:rPr>
          <w:rFonts w:eastAsia="等线"/>
        </w:rPr>
      </w:pPr>
      <w:r w:rsidRPr="004B7917">
        <w:rPr>
          <w:rFonts w:eastAsia="等线"/>
        </w:rPr>
        <w:t>Model 4: Model 3 + insurance coverages;</w:t>
      </w:r>
      <w:r w:rsidRPr="004B7917">
        <w:rPr>
          <w:rFonts w:eastAsia="等线"/>
        </w:rPr>
        <w:br/>
        <w:t>Model 5: Model 4 + characteristics of the household head (marriage, education, sex, and age);</w:t>
      </w:r>
      <w:r w:rsidRPr="004B7917">
        <w:rPr>
          <w:rFonts w:eastAsia="等线"/>
        </w:rPr>
        <w:br/>
        <w:t>Model 6: Model 5 + housing characteristics (building type, rent, in-house telephone, in-house internet, and household tidiness).</w:t>
      </w:r>
    </w:p>
    <w:p w:rsidR="00615111" w:rsidRPr="004B7917" w:rsidRDefault="00615111" w:rsidP="004B7917"/>
    <w:sectPr w:rsidR="00615111" w:rsidRPr="004B7917" w:rsidSect="00437F5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17"/>
    <w:rsid w:val="002C0165"/>
    <w:rsid w:val="002C54EE"/>
    <w:rsid w:val="00432666"/>
    <w:rsid w:val="00437F5F"/>
    <w:rsid w:val="004B7917"/>
    <w:rsid w:val="0061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E9DA"/>
  <w15:chartTrackingRefBased/>
  <w15:docId w15:val="{A6AF7C00-8DED-4537-BFCF-ABB8ADB3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917"/>
    <w:pPr>
      <w:spacing w:after="0" w:line="360" w:lineRule="auto"/>
    </w:pPr>
    <w:rPr>
      <w:rFonts w:ascii="Times New Roman" w:hAnsi="Times New Roman" w:cs="Times New Roman"/>
      <w:kern w:val="2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B7917"/>
    <w:rPr>
      <w:bCs/>
      <w:color w:val="000000"/>
      <w:szCs w:val="24"/>
    </w:rPr>
  </w:style>
  <w:style w:type="paragraph" w:styleId="a4">
    <w:name w:val="List"/>
    <w:basedOn w:val="a"/>
    <w:uiPriority w:val="99"/>
    <w:unhideWhenUsed/>
    <w:qFormat/>
    <w:rsid w:val="004B7917"/>
    <w:pPr>
      <w:ind w:left="284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taoX</dc:creator>
  <cp:keywords/>
  <dc:description/>
  <cp:lastModifiedBy>taoX</cp:lastModifiedBy>
  <cp:revision>1</cp:revision>
  <dcterms:created xsi:type="dcterms:W3CDTF">2020-11-09T02:15:00Z</dcterms:created>
  <dcterms:modified xsi:type="dcterms:W3CDTF">2020-11-09T02:16:00Z</dcterms:modified>
</cp:coreProperties>
</file>