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CF77F" w14:textId="39F8E2C7" w:rsidR="001164B8" w:rsidRPr="004712D5" w:rsidRDefault="00DA70BF">
      <w:pPr>
        <w:rPr>
          <w:rFonts w:ascii="Times New Roman" w:hAnsi="Times New Roman" w:cs="Times New Roman"/>
          <w:b/>
          <w:lang w:val="en-GB"/>
        </w:rPr>
      </w:pPr>
      <w:r w:rsidRPr="00D450E7"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  <w:r w:rsidR="006C6A80" w:rsidRPr="00D450E7">
        <w:rPr>
          <w:rFonts w:ascii="Times New Roman" w:hAnsi="Times New Roman" w:cs="Times New Roman"/>
          <w:b/>
          <w:sz w:val="20"/>
          <w:szCs w:val="20"/>
          <w:lang w:val="en-GB"/>
        </w:rPr>
        <w:t>5</w:t>
      </w:r>
      <w:r w:rsidRPr="00D450E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Table</w:t>
      </w:r>
      <w:r w:rsidR="005322FE" w:rsidRPr="00D450E7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r w:rsidR="009013C6" w:rsidRPr="00D450E7">
        <w:rPr>
          <w:rFonts w:ascii="Times New Roman" w:hAnsi="Times New Roman" w:cs="Times New Roman"/>
          <w:b/>
          <w:sz w:val="20"/>
          <w:szCs w:val="20"/>
          <w:lang w:val="en-GB"/>
        </w:rPr>
        <w:t xml:space="preserve">Insulin </w:t>
      </w:r>
      <w:r w:rsidR="001A3DCD" w:rsidRPr="00D450E7">
        <w:rPr>
          <w:rFonts w:ascii="Times New Roman" w:hAnsi="Times New Roman" w:cs="Times New Roman"/>
          <w:b/>
          <w:sz w:val="20"/>
          <w:szCs w:val="20"/>
          <w:lang w:val="en-GB"/>
        </w:rPr>
        <w:t xml:space="preserve">therapy as </w:t>
      </w:r>
      <w:r w:rsidR="009013C6" w:rsidRPr="00D450E7">
        <w:rPr>
          <w:rFonts w:ascii="Times New Roman" w:hAnsi="Times New Roman" w:cs="Times New Roman"/>
          <w:b/>
          <w:sz w:val="20"/>
          <w:szCs w:val="20"/>
          <w:lang w:val="en-GB"/>
        </w:rPr>
        <w:t xml:space="preserve">a </w:t>
      </w:r>
      <w:r w:rsidR="001A3DCD" w:rsidRPr="00D450E7">
        <w:rPr>
          <w:rFonts w:ascii="Times New Roman" w:hAnsi="Times New Roman" w:cs="Times New Roman"/>
          <w:b/>
          <w:sz w:val="20"/>
          <w:szCs w:val="20"/>
          <w:lang w:val="en-GB"/>
        </w:rPr>
        <w:t xml:space="preserve">risk factor for severe </w:t>
      </w:r>
      <w:r w:rsidR="00537CB0">
        <w:rPr>
          <w:rFonts w:ascii="Times New Roman" w:hAnsi="Times New Roman" w:cs="Times New Roman"/>
          <w:b/>
          <w:sz w:val="20"/>
          <w:szCs w:val="20"/>
          <w:lang w:val="en-GB"/>
        </w:rPr>
        <w:t>ROP</w:t>
      </w:r>
      <w:r w:rsidR="005322FE" w:rsidRPr="00D450E7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="00E57DBD" w:rsidRPr="00D450E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14:paraId="1E0D0438" w14:textId="72131B27" w:rsidR="000250F6" w:rsidRPr="00D450E7" w:rsidRDefault="00E57DBD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450E7">
        <w:rPr>
          <w:rFonts w:ascii="Times New Roman" w:hAnsi="Times New Roman" w:cs="Times New Roman"/>
          <w:sz w:val="20"/>
          <w:szCs w:val="20"/>
          <w:lang w:val="en-GB"/>
        </w:rPr>
        <w:t>Results are based on multiple imputations</w:t>
      </w:r>
      <w:r w:rsidRPr="00D450E7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="00627541" w:rsidRPr="00D450E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6B1DE9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In the main analysis, only missing data </w:t>
      </w:r>
      <w:r w:rsidR="000250F6" w:rsidRPr="00D450E7">
        <w:rPr>
          <w:rFonts w:ascii="Times New Roman" w:hAnsi="Times New Roman" w:cs="Times New Roman"/>
          <w:sz w:val="20"/>
          <w:szCs w:val="20"/>
          <w:lang w:val="en-GB"/>
        </w:rPr>
        <w:t>for</w:t>
      </w:r>
      <w:r w:rsidR="006B1DE9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250F6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6B1DE9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propensity score variables </w:t>
      </w:r>
      <w:r w:rsidR="000250F6" w:rsidRPr="00D450E7">
        <w:rPr>
          <w:rFonts w:ascii="Times New Roman" w:hAnsi="Times New Roman" w:cs="Times New Roman"/>
          <w:sz w:val="20"/>
          <w:szCs w:val="20"/>
          <w:lang w:val="en-GB"/>
        </w:rPr>
        <w:t>were imputed;</w:t>
      </w:r>
      <w:r w:rsidR="006B1DE9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250F6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exposure to insulin treatment and ROP status were not; </w:t>
      </w:r>
      <w:r w:rsidR="006B1DE9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1441 babies with data on insulin and ROP </w:t>
      </w:r>
      <w:r w:rsidR="000250F6" w:rsidRPr="00D450E7">
        <w:rPr>
          <w:rFonts w:ascii="Times New Roman" w:hAnsi="Times New Roman" w:cs="Times New Roman"/>
          <w:sz w:val="20"/>
          <w:szCs w:val="20"/>
          <w:lang w:val="en-GB"/>
        </w:rPr>
        <w:t>were</w:t>
      </w:r>
      <w:r w:rsidR="006B1DE9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 included in </w:t>
      </w:r>
      <w:r w:rsidR="000250F6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this </w:t>
      </w:r>
      <w:r w:rsidR="006B1DE9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analysis.  </w:t>
      </w:r>
      <w:r w:rsidR="000250F6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6B1DE9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number of missing values </w:t>
      </w:r>
      <w:r w:rsidR="000250F6" w:rsidRPr="00D450E7">
        <w:rPr>
          <w:rFonts w:ascii="Times New Roman" w:hAnsi="Times New Roman" w:cs="Times New Roman"/>
          <w:sz w:val="20"/>
          <w:szCs w:val="20"/>
          <w:lang w:val="en-GB"/>
        </w:rPr>
        <w:t>for</w:t>
      </w:r>
      <w:r w:rsidR="006B1DE9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 each variable included in the propensity score </w:t>
      </w:r>
      <w:r w:rsidR="000250F6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as well as </w:t>
      </w:r>
      <w:r w:rsidR="006B1DE9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data in </w:t>
      </w:r>
      <w:r w:rsidR="000250F6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6B1DE9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complete case dataset (observed values) and </w:t>
      </w:r>
      <w:r w:rsidR="000250F6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6B1DE9" w:rsidRPr="00D450E7">
        <w:rPr>
          <w:rFonts w:ascii="Times New Roman" w:hAnsi="Times New Roman" w:cs="Times New Roman"/>
          <w:sz w:val="20"/>
          <w:szCs w:val="20"/>
          <w:lang w:val="en-GB"/>
        </w:rPr>
        <w:t>imputed dataset</w:t>
      </w:r>
      <w:r w:rsidR="000250F6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s are reported in </w:t>
      </w:r>
      <w:r w:rsidR="00C3020C" w:rsidRPr="00D450E7">
        <w:rPr>
          <w:rFonts w:ascii="Times New Roman" w:hAnsi="Times New Roman" w:cs="Times New Roman"/>
          <w:sz w:val="20"/>
          <w:szCs w:val="20"/>
          <w:lang w:val="en-GB"/>
        </w:rPr>
        <w:t>S3 Table</w:t>
      </w:r>
      <w:r w:rsidR="000250F6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53F23292" w14:textId="40F14526" w:rsidR="006B1DE9" w:rsidRPr="00D450E7" w:rsidRDefault="000250F6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D450E7">
        <w:rPr>
          <w:rFonts w:ascii="Times New Roman" w:hAnsi="Times New Roman" w:cs="Times New Roman"/>
          <w:sz w:val="20"/>
          <w:szCs w:val="20"/>
          <w:lang w:val="en-GB"/>
        </w:rPr>
        <w:t>In sensitivity analyse</w:t>
      </w:r>
      <w:r w:rsidR="006B1DE9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s, we </w:t>
      </w:r>
      <w:r w:rsidR="00E55926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also </w:t>
      </w:r>
      <w:r w:rsidR="006B1DE9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imputed exposure to insulin treatment (81 missing data, 5%) and ROP </w:t>
      </w:r>
      <w:r w:rsidR="00E55926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status (273 missing data, 15%); a total of </w:t>
      </w:r>
      <w:r w:rsidR="006B1DE9" w:rsidRPr="00D450E7">
        <w:rPr>
          <w:rFonts w:ascii="Times New Roman" w:hAnsi="Times New Roman" w:cs="Times New Roman"/>
          <w:sz w:val="20"/>
          <w:szCs w:val="20"/>
          <w:lang w:val="en-GB"/>
        </w:rPr>
        <w:t xml:space="preserve">1795 infant </w:t>
      </w:r>
      <w:r w:rsidR="00E55926" w:rsidRPr="00D450E7">
        <w:rPr>
          <w:rFonts w:ascii="Times New Roman" w:hAnsi="Times New Roman" w:cs="Times New Roman"/>
          <w:sz w:val="20"/>
          <w:szCs w:val="20"/>
          <w:lang w:val="en-GB"/>
        </w:rPr>
        <w:t>we</w:t>
      </w:r>
      <w:r w:rsidR="006B1DE9" w:rsidRPr="00D450E7">
        <w:rPr>
          <w:rFonts w:ascii="Times New Roman" w:hAnsi="Times New Roman" w:cs="Times New Roman"/>
          <w:sz w:val="20"/>
          <w:szCs w:val="20"/>
          <w:lang w:val="en-GB"/>
        </w:rPr>
        <w:t>re include</w:t>
      </w:r>
      <w:r w:rsidR="00E55926" w:rsidRPr="00D450E7">
        <w:rPr>
          <w:rFonts w:ascii="Times New Roman" w:hAnsi="Times New Roman" w:cs="Times New Roman"/>
          <w:sz w:val="20"/>
          <w:szCs w:val="20"/>
          <w:lang w:val="en-GB"/>
        </w:rPr>
        <w:t>d.</w:t>
      </w:r>
    </w:p>
    <w:p w14:paraId="0D8AF212" w14:textId="77777777" w:rsidR="006B1DE9" w:rsidRPr="00D450E7" w:rsidRDefault="006B1DE9">
      <w:pPr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800"/>
        <w:gridCol w:w="1000"/>
        <w:gridCol w:w="840"/>
        <w:gridCol w:w="1000"/>
        <w:gridCol w:w="840"/>
        <w:gridCol w:w="1840"/>
        <w:gridCol w:w="920"/>
      </w:tblGrid>
      <w:tr w:rsidR="00794CE0" w:rsidRPr="00D450E7" w14:paraId="2A3D2A21" w14:textId="77777777" w:rsidTr="004C007A">
        <w:trPr>
          <w:trHeight w:val="57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6D4A7" w14:textId="77777777" w:rsidR="00794CE0" w:rsidRPr="00D450E7" w:rsidRDefault="00794CE0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Severe ROP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8FD4F" w14:textId="63332894" w:rsidR="00794CE0" w:rsidRPr="00D450E7" w:rsidRDefault="00794CE0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N</w:t>
            </w:r>
            <w:r w:rsidR="00886C8B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o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A963D" w14:textId="241E9294" w:rsidR="00794CE0" w:rsidRPr="00D450E7" w:rsidRDefault="00794CE0" w:rsidP="007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  Non</w:t>
            </w:r>
            <w:r w:rsidR="005351DA"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-</w:t>
            </w: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exposed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929A7F" w14:textId="159EE076" w:rsidR="00794CE0" w:rsidRPr="00D450E7" w:rsidRDefault="00794CE0" w:rsidP="007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  Expose</w:t>
            </w:r>
            <w:r w:rsidR="00413F5A"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DC90A" w14:textId="77777777" w:rsidR="00794CE0" w:rsidRPr="00D450E7" w:rsidRDefault="00794CE0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OR (95%CI)</w:t>
            </w: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64261" w14:textId="77777777" w:rsidR="00794CE0" w:rsidRPr="00D450E7" w:rsidRDefault="00794CE0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p-value</w:t>
            </w:r>
          </w:p>
        </w:tc>
      </w:tr>
      <w:tr w:rsidR="004C007A" w:rsidRPr="00D450E7" w14:paraId="60976518" w14:textId="77777777" w:rsidTr="004C007A">
        <w:trPr>
          <w:trHeight w:val="5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29368A" w14:textId="4EC200CF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GB" w:eastAsia="fr-FR"/>
              </w:rPr>
              <w:t>Main analysis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E1E7A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842010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CED577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DFECED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9130DD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0C765D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258CCC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4C007A" w:rsidRPr="00D450E7" w14:paraId="1B054033" w14:textId="77777777" w:rsidTr="004C007A">
        <w:trPr>
          <w:trHeight w:val="2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B57C5E" w14:textId="77777777" w:rsidR="00880A55" w:rsidRPr="00D450E7" w:rsidRDefault="00880A55" w:rsidP="004C0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  <w:p w14:paraId="202BDFCA" w14:textId="622B69EF" w:rsidR="004C007A" w:rsidRPr="00D450E7" w:rsidRDefault="004C007A" w:rsidP="004C0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IP</w:t>
            </w:r>
            <w:r w:rsidR="008044BD"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TW</w:t>
            </w: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 </w:t>
            </w:r>
            <w:proofErr w:type="spellStart"/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cohort</w:t>
            </w: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  <w:proofErr w:type="spellEnd"/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3508F8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A601F6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A61B79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78DA61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5EAAF4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D14C2D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6425A7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4C007A" w:rsidRPr="00D450E7" w14:paraId="60D03015" w14:textId="77777777" w:rsidTr="004C007A">
        <w:trPr>
          <w:trHeight w:val="5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A2AC7D" w14:textId="2D9D135D" w:rsidR="004C007A" w:rsidRPr="00D450E7" w:rsidRDefault="004C007A" w:rsidP="004C0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--- </w:t>
            </w:r>
            <w:proofErr w:type="spellStart"/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Adjusted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fr-FR"/>
              </w:rPr>
              <w:t>c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00110" w14:textId="1071FAE9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1441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F5B1DC" w14:textId="7FB379A2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20/1031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B4FFBE" w14:textId="4B21BC65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(3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C3E60D" w14:textId="0A8E0068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19/410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5D6C3E" w14:textId="7F7A31B3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(2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0E7976" w14:textId="4D8C656A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0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40 (0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="007B44DC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13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; 1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569649" w14:textId="286E4DAD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0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  <w:r w:rsidR="00B1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06</w:t>
            </w:r>
          </w:p>
        </w:tc>
      </w:tr>
      <w:tr w:rsidR="004C007A" w:rsidRPr="00D450E7" w14:paraId="26ACBE0B" w14:textId="77777777" w:rsidTr="004C007A">
        <w:trPr>
          <w:trHeight w:val="5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2EED45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51244A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EA1BE0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3C36EB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13A757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07A9DE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0C8DC1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A6F25E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4C007A" w:rsidRPr="00D450E7" w14:paraId="28CA5B1C" w14:textId="77777777" w:rsidTr="004C007A">
        <w:trPr>
          <w:trHeight w:val="5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08CF6D" w14:textId="7615FE29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GB" w:eastAsia="fr-FR"/>
              </w:rPr>
              <w:t>Sensitivity analyses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0A4C7B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24FA42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A16050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F8A898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68864B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F4B221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628663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4C007A" w:rsidRPr="00D450E7" w14:paraId="46FE5B88" w14:textId="77777777" w:rsidTr="004C007A">
        <w:trPr>
          <w:trHeight w:val="5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BAA00" w14:textId="77777777" w:rsidR="00880A55" w:rsidRPr="00D450E7" w:rsidRDefault="00880A55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  <w:p w14:paraId="0785F1E2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Overall cohort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D1FED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EA31B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4451C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C1838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9D60B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5123B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917AE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</w:tr>
      <w:tr w:rsidR="004C007A" w:rsidRPr="00D450E7" w14:paraId="4599F23E" w14:textId="77777777" w:rsidTr="004C007A">
        <w:trPr>
          <w:trHeight w:val="5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A4AC6" w14:textId="2D0AF798" w:rsidR="004C007A" w:rsidRPr="00D450E7" w:rsidRDefault="004C007A" w:rsidP="004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--- </w:t>
            </w:r>
            <w:r w:rsidR="009E58B7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Unadjusted</w:t>
            </w:r>
            <w:r w:rsidR="009E58B7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fr-FR"/>
              </w:rPr>
              <w:t xml:space="preserve"> 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fr-FR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343A7" w14:textId="48D6B3DD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1441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74093" w14:textId="0B03DAAF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20/1031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51840" w14:textId="35BDD50B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(1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028B7" w14:textId="7164F51E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19/410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6C9AE" w14:textId="5A89B88D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(4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3B97A" w14:textId="1DCE7A8A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51 (1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="007B44DC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13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; 5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58)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F7009" w14:textId="7CF64519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0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024</w:t>
            </w:r>
          </w:p>
        </w:tc>
      </w:tr>
      <w:tr w:rsidR="004C007A" w:rsidRPr="00D450E7" w14:paraId="29E999B3" w14:textId="77777777" w:rsidTr="004C007A">
        <w:trPr>
          <w:trHeight w:val="5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F20CC" w14:textId="68EF9A55" w:rsidR="004C007A" w:rsidRPr="00D450E7" w:rsidRDefault="004C007A" w:rsidP="004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--- </w:t>
            </w:r>
            <w:proofErr w:type="spellStart"/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Adjusted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fr-FR"/>
              </w:rPr>
              <w:t>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9F7A5" w14:textId="3769485C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E3DFE" w14:textId="59A57395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D3D4C" w14:textId="07C00563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5688B" w14:textId="1F56ADD0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897D4" w14:textId="28552F84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57942" w14:textId="4B66907A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0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66 (0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="007B44DC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28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; 1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54)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99943" w14:textId="2AA6B965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0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33</w:t>
            </w:r>
            <w:r w:rsidR="00B1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</w:tr>
      <w:tr w:rsidR="004C007A" w:rsidRPr="00D450E7" w14:paraId="3E720295" w14:textId="77777777" w:rsidTr="004C007A">
        <w:trPr>
          <w:trHeight w:val="5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A3356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00C68" w14:textId="26E7EFEB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8EB65" w14:textId="3573CABD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B449B" w14:textId="40944B91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3A9A6" w14:textId="3E7EB4BA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0401D" w14:textId="6D584FD5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86748" w14:textId="1E53C1AD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F31B1" w14:textId="5D11B1EB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</w:tr>
      <w:tr w:rsidR="004C007A" w:rsidRPr="00D450E7" w14:paraId="3D22B1A1" w14:textId="77777777" w:rsidTr="004C007A">
        <w:trPr>
          <w:trHeight w:val="5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9D935" w14:textId="5EE0C415" w:rsidR="004C007A" w:rsidRPr="00D450E7" w:rsidRDefault="004C007A" w:rsidP="004C0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IP</w:t>
            </w:r>
            <w:r w:rsidR="008044BD"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TW</w:t>
            </w: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 </w:t>
            </w:r>
            <w:proofErr w:type="spellStart"/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cohort</w:t>
            </w: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  <w:proofErr w:type="spellEnd"/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A03E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4A22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CB7F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BC7A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592F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10C8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7EAD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4C007A" w:rsidRPr="00D450E7" w14:paraId="4DC6E6BB" w14:textId="77777777" w:rsidTr="004C007A">
        <w:trPr>
          <w:trHeight w:val="2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53950" w14:textId="29C5232A" w:rsidR="004C007A" w:rsidRPr="00D450E7" w:rsidRDefault="004C007A" w:rsidP="0094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--- Unadjusted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4AB60" w14:textId="53C99F70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1441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F3858" w14:textId="21062DAE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20/1031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18A32" w14:textId="62F0863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(3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F6E50" w14:textId="2CEA1FCA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19/410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7DE35" w14:textId="51991D58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(2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48DDE" w14:textId="70849DB8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0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52 (0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="007B44DC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20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; 1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34)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345BA" w14:textId="0692B6CE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0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="00B1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177</w:t>
            </w:r>
          </w:p>
        </w:tc>
      </w:tr>
      <w:tr w:rsidR="004C007A" w:rsidRPr="00D450E7" w14:paraId="068E7796" w14:textId="77777777" w:rsidTr="004C007A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A1DEE" w14:textId="77777777" w:rsidR="004C007A" w:rsidRPr="00D450E7" w:rsidRDefault="004C007A" w:rsidP="00B0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  <w:p w14:paraId="47CE43FD" w14:textId="0F857CEE" w:rsidR="004C007A" w:rsidRPr="00D450E7" w:rsidRDefault="004C007A" w:rsidP="004C0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IP</w:t>
            </w:r>
            <w:r w:rsidR="008044BD"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T</w:t>
            </w: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W </w:t>
            </w:r>
            <w:proofErr w:type="spellStart"/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cohort</w:t>
            </w: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  <w:proofErr w:type="spellEnd"/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fr-FR"/>
              </w:rPr>
              <w:t xml:space="preserve">, </w:t>
            </w:r>
            <w:r w:rsidR="0013611E"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fr-FR"/>
              </w:rPr>
              <w:t>f</w:t>
            </w:r>
            <w:r w:rsidRPr="00D4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0A90" w14:textId="77777777" w:rsidR="004C007A" w:rsidRPr="00D450E7" w:rsidRDefault="004C007A" w:rsidP="00B0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255C" w14:textId="77777777" w:rsidR="004C007A" w:rsidRPr="00D450E7" w:rsidRDefault="004C007A" w:rsidP="00B0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F53E" w14:textId="77777777" w:rsidR="004C007A" w:rsidRPr="00D450E7" w:rsidRDefault="004C007A" w:rsidP="00B0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158E" w14:textId="77777777" w:rsidR="004C007A" w:rsidRPr="00D450E7" w:rsidRDefault="004C007A" w:rsidP="00B0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ADBE" w14:textId="77777777" w:rsidR="004C007A" w:rsidRPr="00D450E7" w:rsidRDefault="004C007A" w:rsidP="00B0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44F6" w14:textId="77777777" w:rsidR="004C007A" w:rsidRPr="00D450E7" w:rsidRDefault="004C007A" w:rsidP="00B0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83C8" w14:textId="77777777" w:rsidR="004C007A" w:rsidRPr="00D450E7" w:rsidRDefault="004C007A" w:rsidP="00B0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4C007A" w:rsidRPr="00D450E7" w14:paraId="50139F11" w14:textId="77777777" w:rsidTr="004C007A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E6693" w14:textId="76C3D184" w:rsidR="004C007A" w:rsidRPr="00D450E7" w:rsidRDefault="004C007A" w:rsidP="000A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--- </w:t>
            </w:r>
            <w:proofErr w:type="spellStart"/>
            <w:r w:rsidR="000A77F7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Adjusted</w:t>
            </w:r>
            <w:r w:rsidR="000A77F7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fr-FR"/>
              </w:rPr>
              <w:t>c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1C7E7" w14:textId="77777777" w:rsidR="004C007A" w:rsidRPr="00D450E7" w:rsidRDefault="004C007A" w:rsidP="00B03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1795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ED317" w14:textId="51499E87" w:rsidR="004C007A" w:rsidRPr="00D450E7" w:rsidRDefault="004C007A" w:rsidP="00B53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23/</w:t>
            </w:r>
            <w:r w:rsidR="00B53B7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1293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501F4" w14:textId="6F0C8B47" w:rsidR="004C007A" w:rsidRPr="00D450E7" w:rsidRDefault="004C007A" w:rsidP="00B0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(3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8DD5C" w14:textId="6D3C462B" w:rsidR="004C007A" w:rsidRPr="00D450E7" w:rsidRDefault="004C007A" w:rsidP="00B53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23/</w:t>
            </w:r>
            <w:r w:rsidR="00B53B7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502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0E5AB" w14:textId="1B513AF5" w:rsidR="004C007A" w:rsidRPr="00D450E7" w:rsidRDefault="004C007A" w:rsidP="00B0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(2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7A365" w14:textId="399A2617" w:rsidR="004C007A" w:rsidRPr="00D450E7" w:rsidRDefault="000A77F7" w:rsidP="00B0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0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49 (0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15-1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65)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41E19" w14:textId="457BB375" w:rsidR="004C007A" w:rsidRPr="00D450E7" w:rsidRDefault="004C007A" w:rsidP="000A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0</w:t>
            </w:r>
            <w:r w:rsidR="00A37E52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.</w:t>
            </w:r>
            <w:r w:rsidR="000A77F7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25</w:t>
            </w:r>
            <w:r w:rsidR="00B15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4C007A" w:rsidRPr="00D450E7" w14:paraId="0170B979" w14:textId="77777777" w:rsidTr="004C007A">
        <w:trPr>
          <w:trHeight w:val="5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D58E08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B6BAE0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2BE17F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766880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93EC83" w14:textId="77777777" w:rsidR="004C007A" w:rsidRPr="00D450E7" w:rsidRDefault="004C007A" w:rsidP="0079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E53AA6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07E313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9F118A" w14:textId="7777777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4C007A" w:rsidRPr="001C183D" w14:paraId="26ED8CC2" w14:textId="77777777" w:rsidTr="004C007A">
        <w:trPr>
          <w:trHeight w:val="57"/>
        </w:trPr>
        <w:tc>
          <w:tcPr>
            <w:tcW w:w="97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9772C" w14:textId="1085FA97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Abbreviations: IP</w:t>
            </w:r>
            <w:r w:rsidR="0013611E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TW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=Inverse Probability </w:t>
            </w:r>
            <w:r w:rsidR="0013611E"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Treatment 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Weighting by Propensity Score.</w:t>
            </w:r>
          </w:p>
        </w:tc>
      </w:tr>
      <w:tr w:rsidR="004C007A" w:rsidRPr="001C183D" w14:paraId="3FDF5108" w14:textId="77777777" w:rsidTr="004C007A">
        <w:trPr>
          <w:trHeight w:val="57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95CF1" w14:textId="29B840C3" w:rsidR="004C007A" w:rsidRPr="00D450E7" w:rsidRDefault="004C007A" w:rsidP="0094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fr-FR"/>
              </w:rPr>
              <w:t xml:space="preserve">a 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Generalized Estimating Equations (GEE) were used to take into account NICU</w:t>
            </w:r>
            <w:r w:rsidR="005965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effects.</w:t>
            </w:r>
          </w:p>
        </w:tc>
      </w:tr>
      <w:tr w:rsidR="004C007A" w:rsidRPr="001C183D" w14:paraId="5FC3810F" w14:textId="77777777" w:rsidTr="004C007A">
        <w:trPr>
          <w:trHeight w:val="223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54060" w14:textId="7AF932C6" w:rsidR="004C007A" w:rsidRPr="00D450E7" w:rsidRDefault="004C007A" w:rsidP="007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Results are weighted by the inverse of the propensity score.</w:t>
            </w:r>
          </w:p>
        </w:tc>
      </w:tr>
      <w:tr w:rsidR="004C007A" w:rsidRPr="001C183D" w14:paraId="74E19137" w14:textId="77777777" w:rsidTr="004C007A">
        <w:trPr>
          <w:trHeight w:val="75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B02A6" w14:textId="613645A0" w:rsidR="004C007A" w:rsidRPr="00D450E7" w:rsidRDefault="004C007A" w:rsidP="0094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fr-FR"/>
              </w:rPr>
              <w:t xml:space="preserve">c 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Adjusted for the duration of oxygen therapy. </w:t>
            </w:r>
          </w:p>
        </w:tc>
      </w:tr>
      <w:tr w:rsidR="0013611E" w:rsidRPr="001C183D" w14:paraId="7C804133" w14:textId="77777777" w:rsidTr="00B0342D">
        <w:trPr>
          <w:trHeight w:val="419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7CA80" w14:textId="3A8B351C" w:rsidR="0013611E" w:rsidRPr="00D450E7" w:rsidRDefault="00986817" w:rsidP="00B0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fr-FR"/>
              </w:rPr>
              <w:t xml:space="preserve">d 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To take into account any differences in the sampling process between children </w:t>
            </w:r>
            <w:r w:rsidR="001C1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born 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at 24–26 weeks</w:t>
            </w:r>
            <w:r w:rsidR="001C1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’ 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and 27–29 weeks</w:t>
            </w:r>
            <w:r w:rsidR="001C1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’</w:t>
            </w:r>
            <w:r w:rsidR="00A45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</w:t>
            </w:r>
            <w:bookmarkStart w:id="0" w:name="_GoBack"/>
            <w:bookmarkEnd w:id="0"/>
            <w:r w:rsidR="001C1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gestation 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results were weighted by recruitment period.</w:t>
            </w:r>
          </w:p>
        </w:tc>
      </w:tr>
      <w:tr w:rsidR="0013611E" w:rsidRPr="001C183D" w14:paraId="72123048" w14:textId="77777777" w:rsidTr="00B0342D">
        <w:trPr>
          <w:trHeight w:val="57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24447" w14:textId="77777777" w:rsidR="0013611E" w:rsidRPr="00D450E7" w:rsidRDefault="0013611E" w:rsidP="00B0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fr-FR"/>
              </w:rPr>
              <w:t xml:space="preserve">e 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Adjusted for gestational age, birth weight percentile and duration of oxygen therapy. </w:t>
            </w:r>
          </w:p>
        </w:tc>
      </w:tr>
      <w:tr w:rsidR="0013611E" w:rsidRPr="001C183D" w14:paraId="5117DD50" w14:textId="77777777" w:rsidTr="00D917BF">
        <w:trPr>
          <w:trHeight w:val="147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77201E" w14:textId="6FCA2A2B" w:rsidR="0013611E" w:rsidRPr="00D450E7" w:rsidRDefault="0013611E" w:rsidP="00136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fr-FR"/>
              </w:rPr>
            </w:pP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fr-FR"/>
              </w:rPr>
              <w:t xml:space="preserve">f </w:t>
            </w:r>
            <w:r w:rsidRPr="00D4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Data regarding exposure to insulin treatment and ROP status were imputed.</w:t>
            </w:r>
          </w:p>
        </w:tc>
      </w:tr>
    </w:tbl>
    <w:p w14:paraId="04DE81BE" w14:textId="77777777" w:rsidR="00320CF6" w:rsidRPr="00D450E7" w:rsidRDefault="00320CF6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377FB6BD" w14:textId="2FDDBA73" w:rsidR="00831351" w:rsidRDefault="00831351">
      <w:pPr>
        <w:rPr>
          <w:rFonts w:ascii="Times New Roman" w:hAnsi="Times New Roman" w:cs="Times New Roman"/>
          <w:color w:val="E36C0A" w:themeColor="accent6" w:themeShade="BF"/>
          <w:lang w:val="en-GB"/>
        </w:rPr>
      </w:pPr>
    </w:p>
    <w:p w14:paraId="6846AC43" w14:textId="77777777" w:rsidR="004712D5" w:rsidRPr="00D450E7" w:rsidRDefault="004712D5">
      <w:pPr>
        <w:rPr>
          <w:rFonts w:ascii="Times New Roman" w:hAnsi="Times New Roman" w:cs="Times New Roman"/>
          <w:color w:val="E36C0A" w:themeColor="accent6" w:themeShade="BF"/>
          <w:lang w:val="en-GB"/>
        </w:rPr>
      </w:pPr>
    </w:p>
    <w:sectPr w:rsidR="004712D5" w:rsidRPr="00D450E7" w:rsidSect="001A3DCD">
      <w:footerReference w:type="even" r:id="rId8"/>
      <w:footerReference w:type="default" r:id="rId9"/>
      <w:pgSz w:w="16838" w:h="11906" w:orient="landscape"/>
      <w:pgMar w:top="720" w:right="253" w:bottom="720" w:left="72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1F683" w14:textId="77777777" w:rsidR="00C67890" w:rsidRDefault="00C67890" w:rsidP="00636263">
      <w:pPr>
        <w:spacing w:after="0" w:line="240" w:lineRule="auto"/>
      </w:pPr>
      <w:r>
        <w:separator/>
      </w:r>
    </w:p>
  </w:endnote>
  <w:endnote w:type="continuationSeparator" w:id="0">
    <w:p w14:paraId="044AE58A" w14:textId="77777777" w:rsidR="00C67890" w:rsidRDefault="00C67890" w:rsidP="0063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31FF8" w14:textId="77777777" w:rsidR="00A57A93" w:rsidRDefault="00A57A93" w:rsidP="00B33ED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8DF881" w14:textId="77777777" w:rsidR="00A57A93" w:rsidRDefault="00A57A93" w:rsidP="00D2013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81E1" w14:textId="77777777" w:rsidR="00A57A93" w:rsidRDefault="00A57A93" w:rsidP="00B33ED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2F9A9EF" w14:textId="44AEB5D6" w:rsidR="00A57A93" w:rsidRDefault="00A57A93" w:rsidP="00D20130">
    <w:pPr>
      <w:pStyle w:val="Pieddepage"/>
      <w:ind w:right="360"/>
      <w:jc w:val="right"/>
    </w:pPr>
  </w:p>
  <w:p w14:paraId="2EF8F165" w14:textId="77777777" w:rsidR="00A57A93" w:rsidRDefault="00A57A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60B2B" w14:textId="77777777" w:rsidR="00C67890" w:rsidRDefault="00C67890" w:rsidP="00636263">
      <w:pPr>
        <w:spacing w:after="0" w:line="240" w:lineRule="auto"/>
      </w:pPr>
      <w:r>
        <w:separator/>
      </w:r>
    </w:p>
  </w:footnote>
  <w:footnote w:type="continuationSeparator" w:id="0">
    <w:p w14:paraId="409D2D8D" w14:textId="77777777" w:rsidR="00C67890" w:rsidRDefault="00C67890" w:rsidP="0063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1D9"/>
    <w:multiLevelType w:val="hybridMultilevel"/>
    <w:tmpl w:val="50CE4522"/>
    <w:lvl w:ilvl="0" w:tplc="6EFAF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3BB9"/>
    <w:multiLevelType w:val="hybridMultilevel"/>
    <w:tmpl w:val="ACACE1C2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496F6E"/>
    <w:multiLevelType w:val="hybridMultilevel"/>
    <w:tmpl w:val="38B61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B36BE"/>
    <w:multiLevelType w:val="hybridMultilevel"/>
    <w:tmpl w:val="5DBA18AA"/>
    <w:lvl w:ilvl="0" w:tplc="149CE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34B"/>
    <w:multiLevelType w:val="hybridMultilevel"/>
    <w:tmpl w:val="0A20DFB8"/>
    <w:lvl w:ilvl="0" w:tplc="3B2A4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E3F20"/>
    <w:multiLevelType w:val="hybridMultilevel"/>
    <w:tmpl w:val="2B7A66EE"/>
    <w:lvl w:ilvl="0" w:tplc="71C6199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A236A"/>
    <w:multiLevelType w:val="hybridMultilevel"/>
    <w:tmpl w:val="8D5C980A"/>
    <w:lvl w:ilvl="0" w:tplc="42CA89D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64E99"/>
    <w:multiLevelType w:val="hybridMultilevel"/>
    <w:tmpl w:val="F4421166"/>
    <w:lvl w:ilvl="0" w:tplc="A16AE92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86D31"/>
    <w:multiLevelType w:val="hybridMultilevel"/>
    <w:tmpl w:val="60E2591E"/>
    <w:lvl w:ilvl="0" w:tplc="745C60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6913"/>
    <w:multiLevelType w:val="hybridMultilevel"/>
    <w:tmpl w:val="9DE4B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FC"/>
    <w:rsid w:val="00010C23"/>
    <w:rsid w:val="000200F0"/>
    <w:rsid w:val="000250F6"/>
    <w:rsid w:val="00025524"/>
    <w:rsid w:val="00045DD4"/>
    <w:rsid w:val="00050D26"/>
    <w:rsid w:val="00056959"/>
    <w:rsid w:val="00060F7D"/>
    <w:rsid w:val="00083D23"/>
    <w:rsid w:val="00093E0C"/>
    <w:rsid w:val="000A2BD8"/>
    <w:rsid w:val="000A77F7"/>
    <w:rsid w:val="001164B8"/>
    <w:rsid w:val="001203C9"/>
    <w:rsid w:val="001242DC"/>
    <w:rsid w:val="0013611E"/>
    <w:rsid w:val="00141574"/>
    <w:rsid w:val="001455B8"/>
    <w:rsid w:val="00147283"/>
    <w:rsid w:val="00153438"/>
    <w:rsid w:val="00166864"/>
    <w:rsid w:val="00181303"/>
    <w:rsid w:val="001877B5"/>
    <w:rsid w:val="001A3DCD"/>
    <w:rsid w:val="001A4A5E"/>
    <w:rsid w:val="001C183D"/>
    <w:rsid w:val="001C7F99"/>
    <w:rsid w:val="001E04DA"/>
    <w:rsid w:val="001F6AE8"/>
    <w:rsid w:val="00200237"/>
    <w:rsid w:val="00200C9A"/>
    <w:rsid w:val="0021366B"/>
    <w:rsid w:val="00250237"/>
    <w:rsid w:val="00255163"/>
    <w:rsid w:val="002636C7"/>
    <w:rsid w:val="00270303"/>
    <w:rsid w:val="002741E6"/>
    <w:rsid w:val="002748CE"/>
    <w:rsid w:val="00282AB7"/>
    <w:rsid w:val="002832AE"/>
    <w:rsid w:val="002927D6"/>
    <w:rsid w:val="00293401"/>
    <w:rsid w:val="00296223"/>
    <w:rsid w:val="0029680E"/>
    <w:rsid w:val="00296F37"/>
    <w:rsid w:val="002B3B48"/>
    <w:rsid w:val="002B51E1"/>
    <w:rsid w:val="002C3FAA"/>
    <w:rsid w:val="002D1540"/>
    <w:rsid w:val="002F4E11"/>
    <w:rsid w:val="00302EAE"/>
    <w:rsid w:val="0030346C"/>
    <w:rsid w:val="0031287F"/>
    <w:rsid w:val="0031304F"/>
    <w:rsid w:val="00314282"/>
    <w:rsid w:val="00320CF6"/>
    <w:rsid w:val="00324E13"/>
    <w:rsid w:val="003331F0"/>
    <w:rsid w:val="003338DF"/>
    <w:rsid w:val="00334B25"/>
    <w:rsid w:val="00344996"/>
    <w:rsid w:val="003645CC"/>
    <w:rsid w:val="00375893"/>
    <w:rsid w:val="003920A4"/>
    <w:rsid w:val="003947B2"/>
    <w:rsid w:val="00396970"/>
    <w:rsid w:val="003973BB"/>
    <w:rsid w:val="003C1A89"/>
    <w:rsid w:val="003E1B51"/>
    <w:rsid w:val="00401A97"/>
    <w:rsid w:val="0041132E"/>
    <w:rsid w:val="00413F5A"/>
    <w:rsid w:val="00420E6B"/>
    <w:rsid w:val="004256A9"/>
    <w:rsid w:val="00436338"/>
    <w:rsid w:val="00437032"/>
    <w:rsid w:val="00450F88"/>
    <w:rsid w:val="004510AD"/>
    <w:rsid w:val="004649C4"/>
    <w:rsid w:val="004712D5"/>
    <w:rsid w:val="00472EB0"/>
    <w:rsid w:val="00474E36"/>
    <w:rsid w:val="00474FB2"/>
    <w:rsid w:val="00481BD8"/>
    <w:rsid w:val="00487655"/>
    <w:rsid w:val="004A70B7"/>
    <w:rsid w:val="004B0A25"/>
    <w:rsid w:val="004B1258"/>
    <w:rsid w:val="004C007A"/>
    <w:rsid w:val="004C098A"/>
    <w:rsid w:val="004C5661"/>
    <w:rsid w:val="004C7F46"/>
    <w:rsid w:val="004D7A58"/>
    <w:rsid w:val="00504667"/>
    <w:rsid w:val="005208F7"/>
    <w:rsid w:val="00526DDB"/>
    <w:rsid w:val="005322FE"/>
    <w:rsid w:val="00532EFF"/>
    <w:rsid w:val="005351DA"/>
    <w:rsid w:val="00537CB0"/>
    <w:rsid w:val="00560F42"/>
    <w:rsid w:val="00562FD8"/>
    <w:rsid w:val="00574442"/>
    <w:rsid w:val="00575461"/>
    <w:rsid w:val="005849AB"/>
    <w:rsid w:val="00596533"/>
    <w:rsid w:val="005B6D98"/>
    <w:rsid w:val="005B7D7C"/>
    <w:rsid w:val="005D682C"/>
    <w:rsid w:val="005E7B5D"/>
    <w:rsid w:val="00606AE4"/>
    <w:rsid w:val="00626FFC"/>
    <w:rsid w:val="00627541"/>
    <w:rsid w:val="006276C1"/>
    <w:rsid w:val="00632F59"/>
    <w:rsid w:val="00633715"/>
    <w:rsid w:val="00636263"/>
    <w:rsid w:val="00641C43"/>
    <w:rsid w:val="00646897"/>
    <w:rsid w:val="0065265C"/>
    <w:rsid w:val="00667A1E"/>
    <w:rsid w:val="00670604"/>
    <w:rsid w:val="00670BF6"/>
    <w:rsid w:val="00670D0C"/>
    <w:rsid w:val="00687EE6"/>
    <w:rsid w:val="006B1DE9"/>
    <w:rsid w:val="006C6A80"/>
    <w:rsid w:val="006C7261"/>
    <w:rsid w:val="006D3342"/>
    <w:rsid w:val="006D5947"/>
    <w:rsid w:val="006D5B89"/>
    <w:rsid w:val="006E3A5A"/>
    <w:rsid w:val="006E3D2E"/>
    <w:rsid w:val="006E78D5"/>
    <w:rsid w:val="006F447E"/>
    <w:rsid w:val="00700748"/>
    <w:rsid w:val="00704F9D"/>
    <w:rsid w:val="00750BDA"/>
    <w:rsid w:val="00755C06"/>
    <w:rsid w:val="007631BD"/>
    <w:rsid w:val="0077018B"/>
    <w:rsid w:val="007729F7"/>
    <w:rsid w:val="00776F12"/>
    <w:rsid w:val="00787E1B"/>
    <w:rsid w:val="00790101"/>
    <w:rsid w:val="00790696"/>
    <w:rsid w:val="00794CE0"/>
    <w:rsid w:val="00797010"/>
    <w:rsid w:val="007B44DC"/>
    <w:rsid w:val="007B729E"/>
    <w:rsid w:val="007C1ACF"/>
    <w:rsid w:val="007C4376"/>
    <w:rsid w:val="007C7E53"/>
    <w:rsid w:val="007D6087"/>
    <w:rsid w:val="007F48A5"/>
    <w:rsid w:val="007F7F21"/>
    <w:rsid w:val="008044BD"/>
    <w:rsid w:val="00806D86"/>
    <w:rsid w:val="00813DCC"/>
    <w:rsid w:val="00831351"/>
    <w:rsid w:val="008337AA"/>
    <w:rsid w:val="008536E0"/>
    <w:rsid w:val="00864813"/>
    <w:rsid w:val="00866A50"/>
    <w:rsid w:val="0087572B"/>
    <w:rsid w:val="00880A55"/>
    <w:rsid w:val="008837D4"/>
    <w:rsid w:val="00886C8B"/>
    <w:rsid w:val="008921FD"/>
    <w:rsid w:val="008B6BE1"/>
    <w:rsid w:val="008C2ED7"/>
    <w:rsid w:val="008C440E"/>
    <w:rsid w:val="008D2B9C"/>
    <w:rsid w:val="008D68A4"/>
    <w:rsid w:val="008F1070"/>
    <w:rsid w:val="008F3E49"/>
    <w:rsid w:val="009013C6"/>
    <w:rsid w:val="00903ACB"/>
    <w:rsid w:val="00922792"/>
    <w:rsid w:val="00942C17"/>
    <w:rsid w:val="0095183C"/>
    <w:rsid w:val="009539EA"/>
    <w:rsid w:val="00957863"/>
    <w:rsid w:val="009611AE"/>
    <w:rsid w:val="00973D3B"/>
    <w:rsid w:val="00981315"/>
    <w:rsid w:val="00986817"/>
    <w:rsid w:val="00996D33"/>
    <w:rsid w:val="009A4C15"/>
    <w:rsid w:val="009B13D0"/>
    <w:rsid w:val="009C7840"/>
    <w:rsid w:val="009C7D4D"/>
    <w:rsid w:val="009E58B7"/>
    <w:rsid w:val="009F799B"/>
    <w:rsid w:val="00A02480"/>
    <w:rsid w:val="00A20F99"/>
    <w:rsid w:val="00A226EA"/>
    <w:rsid w:val="00A35E61"/>
    <w:rsid w:val="00A36722"/>
    <w:rsid w:val="00A37E52"/>
    <w:rsid w:val="00A459F0"/>
    <w:rsid w:val="00A5575C"/>
    <w:rsid w:val="00A57A93"/>
    <w:rsid w:val="00A750D8"/>
    <w:rsid w:val="00A75C5A"/>
    <w:rsid w:val="00A80AD7"/>
    <w:rsid w:val="00AA6869"/>
    <w:rsid w:val="00AC3463"/>
    <w:rsid w:val="00AD72C1"/>
    <w:rsid w:val="00AE065C"/>
    <w:rsid w:val="00AE3285"/>
    <w:rsid w:val="00B0075A"/>
    <w:rsid w:val="00B0342D"/>
    <w:rsid w:val="00B12F26"/>
    <w:rsid w:val="00B15FE8"/>
    <w:rsid w:val="00B25750"/>
    <w:rsid w:val="00B33ED2"/>
    <w:rsid w:val="00B37C38"/>
    <w:rsid w:val="00B44D2A"/>
    <w:rsid w:val="00B53B72"/>
    <w:rsid w:val="00B62C7F"/>
    <w:rsid w:val="00B6619B"/>
    <w:rsid w:val="00B90C55"/>
    <w:rsid w:val="00B9376E"/>
    <w:rsid w:val="00BB3823"/>
    <w:rsid w:val="00BC4370"/>
    <w:rsid w:val="00BD74EA"/>
    <w:rsid w:val="00BE05D4"/>
    <w:rsid w:val="00BE2887"/>
    <w:rsid w:val="00BF2D85"/>
    <w:rsid w:val="00C3020C"/>
    <w:rsid w:val="00C353AC"/>
    <w:rsid w:val="00C44327"/>
    <w:rsid w:val="00C67890"/>
    <w:rsid w:val="00C74E8A"/>
    <w:rsid w:val="00CA549F"/>
    <w:rsid w:val="00CC04CB"/>
    <w:rsid w:val="00CC7BE2"/>
    <w:rsid w:val="00CD5D4B"/>
    <w:rsid w:val="00D20130"/>
    <w:rsid w:val="00D450E7"/>
    <w:rsid w:val="00D46210"/>
    <w:rsid w:val="00D56B56"/>
    <w:rsid w:val="00D67E63"/>
    <w:rsid w:val="00D72E96"/>
    <w:rsid w:val="00D73604"/>
    <w:rsid w:val="00D74951"/>
    <w:rsid w:val="00D82A79"/>
    <w:rsid w:val="00D85E51"/>
    <w:rsid w:val="00D864A3"/>
    <w:rsid w:val="00D917BF"/>
    <w:rsid w:val="00D9254C"/>
    <w:rsid w:val="00DA51A6"/>
    <w:rsid w:val="00DA70BF"/>
    <w:rsid w:val="00DB0439"/>
    <w:rsid w:val="00DB7A35"/>
    <w:rsid w:val="00DC2500"/>
    <w:rsid w:val="00DC348A"/>
    <w:rsid w:val="00DE4FB4"/>
    <w:rsid w:val="00DF5DFC"/>
    <w:rsid w:val="00E00102"/>
    <w:rsid w:val="00E27714"/>
    <w:rsid w:val="00E333DC"/>
    <w:rsid w:val="00E33F1D"/>
    <w:rsid w:val="00E44540"/>
    <w:rsid w:val="00E45745"/>
    <w:rsid w:val="00E50341"/>
    <w:rsid w:val="00E535E6"/>
    <w:rsid w:val="00E55926"/>
    <w:rsid w:val="00E57DBD"/>
    <w:rsid w:val="00E67FDA"/>
    <w:rsid w:val="00E826F4"/>
    <w:rsid w:val="00E91049"/>
    <w:rsid w:val="00EA1A43"/>
    <w:rsid w:val="00EA319E"/>
    <w:rsid w:val="00EC44D4"/>
    <w:rsid w:val="00EC5586"/>
    <w:rsid w:val="00EC7F22"/>
    <w:rsid w:val="00EE1EBC"/>
    <w:rsid w:val="00EF2D77"/>
    <w:rsid w:val="00EF4B0F"/>
    <w:rsid w:val="00EF4B19"/>
    <w:rsid w:val="00EF62BF"/>
    <w:rsid w:val="00F0380D"/>
    <w:rsid w:val="00F04A84"/>
    <w:rsid w:val="00F05008"/>
    <w:rsid w:val="00F077E8"/>
    <w:rsid w:val="00F30713"/>
    <w:rsid w:val="00F535D3"/>
    <w:rsid w:val="00F6041E"/>
    <w:rsid w:val="00F64E47"/>
    <w:rsid w:val="00F70AF4"/>
    <w:rsid w:val="00F73287"/>
    <w:rsid w:val="00F845A5"/>
    <w:rsid w:val="00F9726B"/>
    <w:rsid w:val="00F97C92"/>
    <w:rsid w:val="00FA2AA6"/>
    <w:rsid w:val="00FB203B"/>
    <w:rsid w:val="00FB3F9E"/>
    <w:rsid w:val="00FB41B9"/>
    <w:rsid w:val="00FB574B"/>
    <w:rsid w:val="00FD5266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39D69"/>
  <w15:docId w15:val="{C7F6CDB9-190E-4827-AB8A-A84869B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92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F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366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9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3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263"/>
  </w:style>
  <w:style w:type="paragraph" w:styleId="Pieddepage">
    <w:name w:val="footer"/>
    <w:basedOn w:val="Normal"/>
    <w:link w:val="PieddepageCar"/>
    <w:uiPriority w:val="99"/>
    <w:unhideWhenUsed/>
    <w:rsid w:val="0063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263"/>
  </w:style>
  <w:style w:type="character" w:customStyle="1" w:styleId="st">
    <w:name w:val="st"/>
    <w:basedOn w:val="Policepardfaut"/>
    <w:rsid w:val="00324E13"/>
  </w:style>
  <w:style w:type="character" w:styleId="Accentuation">
    <w:name w:val="Emphasis"/>
    <w:basedOn w:val="Policepardfaut"/>
    <w:uiPriority w:val="20"/>
    <w:qFormat/>
    <w:rsid w:val="00324E13"/>
    <w:rPr>
      <w:i/>
      <w:iCs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754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7541"/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62754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77F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77F7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B33ED2"/>
  </w:style>
  <w:style w:type="paragraph" w:styleId="Rvision">
    <w:name w:val="Revision"/>
    <w:hidden/>
    <w:uiPriority w:val="99"/>
    <w:semiHidden/>
    <w:rsid w:val="00D20130"/>
    <w:pPr>
      <w:spacing w:after="0" w:line="240" w:lineRule="auto"/>
    </w:pPr>
  </w:style>
  <w:style w:type="paragraph" w:customStyle="1" w:styleId="p1">
    <w:name w:val="p1"/>
    <w:basedOn w:val="Normal"/>
    <w:rsid w:val="00790101"/>
    <w:pPr>
      <w:spacing w:after="0" w:line="360" w:lineRule="auto"/>
    </w:pPr>
    <w:rPr>
      <w:rFonts w:ascii="Courier New" w:eastAsia="MS Gothic" w:hAnsi="Courier New" w:cs="Wingdings"/>
      <w:color w:val="000000"/>
      <w:sz w:val="18"/>
      <w:szCs w:val="18"/>
      <w:lang w:eastAsia="fr-FR"/>
    </w:rPr>
  </w:style>
  <w:style w:type="character" w:customStyle="1" w:styleId="s1">
    <w:name w:val="s1"/>
    <w:rsid w:val="0079010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363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36338"/>
    <w:rPr>
      <w:rFonts w:ascii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646897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646897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646897"/>
  </w:style>
  <w:style w:type="paragraph" w:customStyle="1" w:styleId="TableNote">
    <w:name w:val="TableNote"/>
    <w:basedOn w:val="Normal"/>
    <w:rsid w:val="00646897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URL">
    <w:name w:val="URL"/>
    <w:rsid w:val="00646897"/>
    <w:rPr>
      <w:color w:val="666699"/>
    </w:rPr>
  </w:style>
  <w:style w:type="character" w:customStyle="1" w:styleId="apple-converted-space">
    <w:name w:val="apple-converted-space"/>
    <w:basedOn w:val="Policepardfaut"/>
    <w:rsid w:val="00A5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B3C6-D09E-724A-B9AF-525BEC0F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Elsa</cp:lastModifiedBy>
  <cp:revision>52</cp:revision>
  <cp:lastPrinted>2018-02-15T10:17:00Z</cp:lastPrinted>
  <dcterms:created xsi:type="dcterms:W3CDTF">2019-01-31T12:23:00Z</dcterms:created>
  <dcterms:modified xsi:type="dcterms:W3CDTF">2020-11-23T22:34:00Z</dcterms:modified>
</cp:coreProperties>
</file>