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E8" w:rsidRPr="006B2D97" w:rsidRDefault="001516E8" w:rsidP="00151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 Fig</w:t>
      </w:r>
      <w:r w:rsidRPr="006B2D97">
        <w:rPr>
          <w:rFonts w:ascii="Times New Roman" w:hAnsi="Times New Roman" w:cs="Times New Roman"/>
          <w:b/>
          <w:sz w:val="24"/>
          <w:szCs w:val="24"/>
        </w:rPr>
        <w:t>: Site-specific and meta-analysis hazard ratios for infection-related hospitalisation, not adjusted for smoking during pregnancy</w:t>
      </w:r>
    </w:p>
    <w:p w:rsidR="001516E8" w:rsidRDefault="001516E8" w:rsidP="001516E8">
      <w:pPr>
        <w:rPr>
          <w:rFonts w:ascii="Times New Roman" w:hAnsi="Times New Roman" w:cs="Times New Roman"/>
          <w:b/>
          <w:noProof/>
          <w:sz w:val="20"/>
          <w:szCs w:val="20"/>
          <w:lang w:eastAsia="en-AU"/>
        </w:rPr>
      </w:pPr>
      <w:r w:rsidRPr="00E31E71">
        <w:rPr>
          <w:rFonts w:ascii="Times New Roman" w:hAnsi="Times New Roman" w:cs="Times New Roman"/>
          <w:b/>
          <w:noProof/>
          <w:sz w:val="20"/>
          <w:szCs w:val="20"/>
          <w:lang w:eastAsia="en-AU"/>
        </w:rPr>
        <w:drawing>
          <wp:inline distT="0" distB="0" distL="0" distR="0" wp14:anchorId="29EC11AE" wp14:editId="606F0E5C">
            <wp:extent cx="5553508" cy="560335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5173" r="4974" b="3366"/>
                    <a:stretch/>
                  </pic:blipFill>
                  <pic:spPr bwMode="auto">
                    <a:xfrm>
                      <a:off x="0" y="0"/>
                      <a:ext cx="5566211" cy="56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6E8" w:rsidRDefault="001516E8" w:rsidP="001516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Estimates are from recurrent events models fitted for total time. Models adjusted </w:t>
      </w:r>
      <w:r w:rsidRPr="00F13A44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for: sex, gestational age, birth weight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z-score</w:t>
      </w:r>
      <w:r w:rsidRPr="00F13A44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, maternal age at birth, parity, area level deprivation, birth year,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medical </w:t>
      </w:r>
      <w:r w:rsidRPr="00F13A44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indication for type of delivery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,</w:t>
      </w:r>
      <w:r w:rsidRPr="00F13A44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and season of birth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. </w:t>
      </w:r>
      <w:r w:rsidRPr="00BF4356">
        <w:rPr>
          <w:rFonts w:ascii="Times New Roman" w:hAnsi="Times New Roman" w:cs="Times New Roman"/>
          <w:sz w:val="20"/>
          <w:szCs w:val="20"/>
        </w:rPr>
        <w:t>Reference is vaginal births. I-V: inverse-variance weighted fixed effects model,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356">
        <w:rPr>
          <w:rFonts w:ascii="Times New Roman" w:hAnsi="Times New Roman" w:cs="Times New Roman"/>
          <w:sz w:val="20"/>
          <w:szCs w:val="20"/>
        </w:rPr>
        <w:t xml:space="preserve">D+L: </w:t>
      </w:r>
      <w:proofErr w:type="spellStart"/>
      <w:r w:rsidRPr="00BF4356">
        <w:rPr>
          <w:rFonts w:ascii="Times New Roman" w:hAnsi="Times New Roman" w:cs="Times New Roman"/>
          <w:sz w:val="20"/>
          <w:szCs w:val="20"/>
        </w:rPr>
        <w:t>DerSimonian</w:t>
      </w:r>
      <w:proofErr w:type="spellEnd"/>
      <w:r w:rsidRPr="00BF4356">
        <w:rPr>
          <w:rFonts w:ascii="Times New Roman" w:hAnsi="Times New Roman" w:cs="Times New Roman"/>
          <w:sz w:val="20"/>
          <w:szCs w:val="20"/>
        </w:rPr>
        <w:t xml:space="preserve"> and Laird random effects model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4DC2" w:rsidRDefault="00F14DC2">
      <w:bookmarkStart w:id="0" w:name="_GoBack"/>
      <w:bookmarkEnd w:id="0"/>
    </w:p>
    <w:sectPr w:rsidR="00F14DC2" w:rsidSect="0015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8"/>
    <w:rsid w:val="001516E8"/>
    <w:rsid w:val="00F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7CA52-4632-44C3-9C6D-891093E6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2020-10-03T06:56:00Z</dcterms:created>
  <dcterms:modified xsi:type="dcterms:W3CDTF">2020-10-03T06:56:00Z</dcterms:modified>
</cp:coreProperties>
</file>