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49" w:type="dxa"/>
        <w:tblInd w:w="-856" w:type="dxa"/>
        <w:tblLook w:val="04A0" w:firstRow="1" w:lastRow="0" w:firstColumn="1" w:lastColumn="0" w:noHBand="0" w:noVBand="1"/>
      </w:tblPr>
      <w:tblGrid>
        <w:gridCol w:w="1900"/>
        <w:gridCol w:w="1701"/>
        <w:gridCol w:w="2268"/>
        <w:gridCol w:w="2551"/>
        <w:gridCol w:w="2129"/>
      </w:tblGrid>
      <w:tr w:rsidR="00950F6A" w:rsidRPr="00C34BD7" w14:paraId="5FA60306" w14:textId="77777777" w:rsidTr="00EB7EC7">
        <w:tc>
          <w:tcPr>
            <w:tcW w:w="10549" w:type="dxa"/>
            <w:gridSpan w:val="5"/>
          </w:tcPr>
          <w:p w14:paraId="7565DB96" w14:textId="62F01432" w:rsidR="00950F6A" w:rsidRPr="00C34BD7" w:rsidRDefault="00E47658" w:rsidP="00EB7EC7">
            <w:pPr>
              <w:spacing w:after="120"/>
              <w:mirrorIndents/>
              <w:rPr>
                <w:rFonts w:cstheme="minorHAnsi"/>
                <w:noProof/>
                <w:sz w:val="20"/>
                <w:szCs w:val="20"/>
              </w:rPr>
            </w:pPr>
            <w:r>
              <w:rPr>
                <w:rFonts w:cstheme="minorHAnsi"/>
                <w:b/>
                <w:noProof/>
                <w:sz w:val="20"/>
                <w:szCs w:val="20"/>
              </w:rPr>
              <w:t>Supporting</w:t>
            </w:r>
            <w:r w:rsidR="00950F6A" w:rsidRPr="00C34BD7">
              <w:rPr>
                <w:rFonts w:cstheme="minorHAnsi"/>
                <w:b/>
                <w:noProof/>
                <w:sz w:val="20"/>
                <w:szCs w:val="20"/>
              </w:rPr>
              <w:t xml:space="preserve"> Table 2: Results of the Logistic Regression Modelling For Each of the Three Models Assessed using the DHS Datasets. </w:t>
            </w:r>
            <w:r w:rsidR="00950F6A" w:rsidRPr="00C34BD7">
              <w:rPr>
                <w:rFonts w:cstheme="minorHAnsi"/>
                <w:noProof/>
                <w:sz w:val="20"/>
                <w:szCs w:val="20"/>
              </w:rPr>
              <w:t xml:space="preserve">Separate logistic regression models were fitted relating an individual’s malaria positivity to survey prevalence, household size and one of three factors related to the status of other individuals’ resident in the household. An interaction term between this other factor and survey prevalence was also included in the model to allow this relationship to vary with survey prevalence. These models were fitted to the data within a Bayesian framework using the probabilistic programming language STAN, and implemented in R using the package RStan. Results presented below are based on 10,000 HMC samples. </w:t>
            </w:r>
          </w:p>
        </w:tc>
      </w:tr>
      <w:tr w:rsidR="00950F6A" w:rsidRPr="00C34BD7" w14:paraId="1998B2EB" w14:textId="77777777" w:rsidTr="00EB7EC7">
        <w:tc>
          <w:tcPr>
            <w:tcW w:w="1900" w:type="dxa"/>
          </w:tcPr>
          <w:p w14:paraId="7ECEEEFE"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Model</w:t>
            </w:r>
          </w:p>
        </w:tc>
        <w:tc>
          <w:tcPr>
            <w:tcW w:w="1701" w:type="dxa"/>
          </w:tcPr>
          <w:p w14:paraId="63B3831A"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Survey Prevalence</w:t>
            </w:r>
          </w:p>
        </w:tc>
        <w:tc>
          <w:tcPr>
            <w:tcW w:w="2268" w:type="dxa"/>
          </w:tcPr>
          <w:p w14:paraId="78B96DF5"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Household Size</w:t>
            </w:r>
          </w:p>
        </w:tc>
        <w:tc>
          <w:tcPr>
            <w:tcW w:w="2551" w:type="dxa"/>
          </w:tcPr>
          <w:p w14:paraId="7CBC5752"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Index Household</w:t>
            </w:r>
          </w:p>
        </w:tc>
        <w:tc>
          <w:tcPr>
            <w:tcW w:w="2126" w:type="dxa"/>
          </w:tcPr>
          <w:p w14:paraId="606EE6CA"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Interaction</w:t>
            </w:r>
          </w:p>
        </w:tc>
      </w:tr>
      <w:tr w:rsidR="00950F6A" w:rsidRPr="00C34BD7" w14:paraId="2D404E8D" w14:textId="77777777" w:rsidTr="00EB7EC7">
        <w:tc>
          <w:tcPr>
            <w:tcW w:w="1900" w:type="dxa"/>
          </w:tcPr>
          <w:p w14:paraId="1214AB8E"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RACD - Community</w:t>
            </w:r>
          </w:p>
        </w:tc>
        <w:tc>
          <w:tcPr>
            <w:tcW w:w="1701" w:type="dxa"/>
            <w:vAlign w:val="bottom"/>
          </w:tcPr>
          <w:p w14:paraId="3E061352"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1.06 (1.06 - 1.06)</w:t>
            </w:r>
          </w:p>
        </w:tc>
        <w:tc>
          <w:tcPr>
            <w:tcW w:w="2268" w:type="dxa"/>
            <w:vAlign w:val="bottom"/>
          </w:tcPr>
          <w:p w14:paraId="0A1FF521"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1.00 (0.99 - 1.01)</w:t>
            </w:r>
          </w:p>
        </w:tc>
        <w:tc>
          <w:tcPr>
            <w:tcW w:w="2551" w:type="dxa"/>
            <w:vAlign w:val="bottom"/>
          </w:tcPr>
          <w:p w14:paraId="070B9948"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11.72 (10.42 - 13.19)</w:t>
            </w:r>
          </w:p>
        </w:tc>
        <w:tc>
          <w:tcPr>
            <w:tcW w:w="2126" w:type="dxa"/>
            <w:vAlign w:val="bottom"/>
          </w:tcPr>
          <w:p w14:paraId="63040BA9"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0.96 (0.96 - 0.97)</w:t>
            </w:r>
          </w:p>
        </w:tc>
      </w:tr>
      <w:tr w:rsidR="00950F6A" w:rsidRPr="00C34BD7" w14:paraId="3953E0D9" w14:textId="77777777" w:rsidTr="00EB7EC7">
        <w:tc>
          <w:tcPr>
            <w:tcW w:w="1900" w:type="dxa"/>
          </w:tcPr>
          <w:p w14:paraId="1712503E"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MSAT</w:t>
            </w:r>
          </w:p>
        </w:tc>
        <w:tc>
          <w:tcPr>
            <w:tcW w:w="1701" w:type="dxa"/>
            <w:vAlign w:val="bottom"/>
          </w:tcPr>
          <w:p w14:paraId="349D05E8"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1.06 (1.06 - 1.06)</w:t>
            </w:r>
          </w:p>
        </w:tc>
        <w:tc>
          <w:tcPr>
            <w:tcW w:w="2268" w:type="dxa"/>
            <w:vAlign w:val="bottom"/>
          </w:tcPr>
          <w:p w14:paraId="06F875A5"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0.98 (0.97 - 0.99)</w:t>
            </w:r>
          </w:p>
        </w:tc>
        <w:tc>
          <w:tcPr>
            <w:tcW w:w="2551" w:type="dxa"/>
            <w:vAlign w:val="bottom"/>
          </w:tcPr>
          <w:p w14:paraId="04C5DEB0"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14.17 (13.09 - 15.32)</w:t>
            </w:r>
          </w:p>
        </w:tc>
        <w:tc>
          <w:tcPr>
            <w:tcW w:w="2126" w:type="dxa"/>
            <w:vAlign w:val="bottom"/>
          </w:tcPr>
          <w:p w14:paraId="35FCABB4"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0.97 (0.97 - 0.97)</w:t>
            </w:r>
          </w:p>
        </w:tc>
      </w:tr>
      <w:tr w:rsidR="00950F6A" w:rsidRPr="00C34BD7" w14:paraId="4BB15C0B" w14:textId="77777777" w:rsidTr="00EB7EC7">
        <w:tc>
          <w:tcPr>
            <w:tcW w:w="1900" w:type="dxa"/>
          </w:tcPr>
          <w:p w14:paraId="61E5B11B" w14:textId="77777777" w:rsidR="00950F6A" w:rsidRPr="00C34BD7" w:rsidRDefault="00950F6A" w:rsidP="00EB7EC7">
            <w:pPr>
              <w:spacing w:after="120"/>
              <w:mirrorIndents/>
              <w:rPr>
                <w:rFonts w:cstheme="minorHAnsi"/>
                <w:b/>
                <w:noProof/>
                <w:sz w:val="20"/>
                <w:szCs w:val="20"/>
              </w:rPr>
            </w:pPr>
            <w:r w:rsidRPr="00C34BD7">
              <w:rPr>
                <w:rFonts w:cstheme="minorHAnsi"/>
                <w:b/>
                <w:noProof/>
                <w:sz w:val="20"/>
                <w:szCs w:val="20"/>
              </w:rPr>
              <w:t xml:space="preserve">MTAT </w:t>
            </w:r>
          </w:p>
        </w:tc>
        <w:tc>
          <w:tcPr>
            <w:tcW w:w="1701" w:type="dxa"/>
            <w:vAlign w:val="bottom"/>
          </w:tcPr>
          <w:p w14:paraId="43C85590"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1.05 (1.05 - 1.05)</w:t>
            </w:r>
          </w:p>
        </w:tc>
        <w:tc>
          <w:tcPr>
            <w:tcW w:w="2268" w:type="dxa"/>
            <w:vAlign w:val="bottom"/>
          </w:tcPr>
          <w:p w14:paraId="77875FB5"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0.88 (0.87 - 0.88)</w:t>
            </w:r>
          </w:p>
        </w:tc>
        <w:tc>
          <w:tcPr>
            <w:tcW w:w="2551" w:type="dxa"/>
            <w:vAlign w:val="bottom"/>
          </w:tcPr>
          <w:p w14:paraId="1F6FA043"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20.41 (19.36 - 21.53)</w:t>
            </w:r>
          </w:p>
        </w:tc>
        <w:tc>
          <w:tcPr>
            <w:tcW w:w="2126" w:type="dxa"/>
            <w:vAlign w:val="bottom"/>
          </w:tcPr>
          <w:p w14:paraId="1863E769" w14:textId="77777777" w:rsidR="00950F6A" w:rsidRPr="00C34BD7" w:rsidRDefault="00950F6A" w:rsidP="00EB7EC7">
            <w:pPr>
              <w:spacing w:after="120"/>
              <w:mirrorIndents/>
              <w:rPr>
                <w:rFonts w:cstheme="minorHAnsi"/>
                <w:noProof/>
                <w:sz w:val="20"/>
                <w:szCs w:val="20"/>
              </w:rPr>
            </w:pPr>
            <w:r w:rsidRPr="00C34BD7">
              <w:rPr>
                <w:rFonts w:ascii="Calibri" w:hAnsi="Calibri" w:cs="Calibri"/>
                <w:noProof/>
                <w:sz w:val="20"/>
                <w:szCs w:val="20"/>
              </w:rPr>
              <w:t>0.98 (0.97 - 0.98)</w:t>
            </w:r>
          </w:p>
        </w:tc>
      </w:tr>
    </w:tbl>
    <w:p w14:paraId="17BE2391" w14:textId="77777777" w:rsidR="00744277" w:rsidRDefault="00744277"/>
    <w:sectPr w:rsidR="00744277" w:rsidSect="00A43E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6A"/>
    <w:rsid w:val="00032B7A"/>
    <w:rsid w:val="000349E6"/>
    <w:rsid w:val="000428A5"/>
    <w:rsid w:val="00065E2F"/>
    <w:rsid w:val="0008204E"/>
    <w:rsid w:val="000837B3"/>
    <w:rsid w:val="000C7038"/>
    <w:rsid w:val="000D0126"/>
    <w:rsid w:val="000E6AFD"/>
    <w:rsid w:val="000F360F"/>
    <w:rsid w:val="000F7EA7"/>
    <w:rsid w:val="00112970"/>
    <w:rsid w:val="0017488C"/>
    <w:rsid w:val="001964C7"/>
    <w:rsid w:val="001A7289"/>
    <w:rsid w:val="001C2303"/>
    <w:rsid w:val="001D0DB5"/>
    <w:rsid w:val="001E60A5"/>
    <w:rsid w:val="001F1100"/>
    <w:rsid w:val="001F7DBF"/>
    <w:rsid w:val="00205D62"/>
    <w:rsid w:val="00213156"/>
    <w:rsid w:val="002171BD"/>
    <w:rsid w:val="0026177E"/>
    <w:rsid w:val="00262012"/>
    <w:rsid w:val="00287205"/>
    <w:rsid w:val="00290FD2"/>
    <w:rsid w:val="002C66A8"/>
    <w:rsid w:val="002D5650"/>
    <w:rsid w:val="002E32EA"/>
    <w:rsid w:val="00316030"/>
    <w:rsid w:val="00321B26"/>
    <w:rsid w:val="003332EE"/>
    <w:rsid w:val="00333424"/>
    <w:rsid w:val="003609E5"/>
    <w:rsid w:val="00361E55"/>
    <w:rsid w:val="00384504"/>
    <w:rsid w:val="003967D5"/>
    <w:rsid w:val="003A5CC7"/>
    <w:rsid w:val="003B6057"/>
    <w:rsid w:val="003C09CF"/>
    <w:rsid w:val="003C3AB8"/>
    <w:rsid w:val="003E278C"/>
    <w:rsid w:val="003E44F9"/>
    <w:rsid w:val="003F0EDA"/>
    <w:rsid w:val="00401E96"/>
    <w:rsid w:val="00421787"/>
    <w:rsid w:val="00422B2B"/>
    <w:rsid w:val="00430E52"/>
    <w:rsid w:val="00431A20"/>
    <w:rsid w:val="00463FA8"/>
    <w:rsid w:val="004A3EF3"/>
    <w:rsid w:val="004A7F34"/>
    <w:rsid w:val="004F529E"/>
    <w:rsid w:val="004F5A1A"/>
    <w:rsid w:val="00510CC0"/>
    <w:rsid w:val="00594B00"/>
    <w:rsid w:val="00594E45"/>
    <w:rsid w:val="00597BC9"/>
    <w:rsid w:val="005B3BD2"/>
    <w:rsid w:val="006163BC"/>
    <w:rsid w:val="00640E36"/>
    <w:rsid w:val="00665D8F"/>
    <w:rsid w:val="006855B3"/>
    <w:rsid w:val="006B06CA"/>
    <w:rsid w:val="006D437C"/>
    <w:rsid w:val="006E4590"/>
    <w:rsid w:val="00744277"/>
    <w:rsid w:val="00746D36"/>
    <w:rsid w:val="0078512B"/>
    <w:rsid w:val="00790589"/>
    <w:rsid w:val="007D4628"/>
    <w:rsid w:val="007E4C2B"/>
    <w:rsid w:val="007F0969"/>
    <w:rsid w:val="00804ADA"/>
    <w:rsid w:val="00824996"/>
    <w:rsid w:val="00852216"/>
    <w:rsid w:val="00853E64"/>
    <w:rsid w:val="00871759"/>
    <w:rsid w:val="00872270"/>
    <w:rsid w:val="008E4589"/>
    <w:rsid w:val="008F439D"/>
    <w:rsid w:val="0091656D"/>
    <w:rsid w:val="00945149"/>
    <w:rsid w:val="00947CE3"/>
    <w:rsid w:val="00950F6A"/>
    <w:rsid w:val="009546E7"/>
    <w:rsid w:val="009628CB"/>
    <w:rsid w:val="009708F5"/>
    <w:rsid w:val="009B23A0"/>
    <w:rsid w:val="009D06FB"/>
    <w:rsid w:val="009D1FD3"/>
    <w:rsid w:val="009D780C"/>
    <w:rsid w:val="009E3CA1"/>
    <w:rsid w:val="00A43EB4"/>
    <w:rsid w:val="00A7613A"/>
    <w:rsid w:val="00A91C9E"/>
    <w:rsid w:val="00A924B9"/>
    <w:rsid w:val="00AA49D1"/>
    <w:rsid w:val="00AD73F7"/>
    <w:rsid w:val="00AE003E"/>
    <w:rsid w:val="00AE76E2"/>
    <w:rsid w:val="00B16E53"/>
    <w:rsid w:val="00B23E9A"/>
    <w:rsid w:val="00B4420E"/>
    <w:rsid w:val="00B462AE"/>
    <w:rsid w:val="00B54B09"/>
    <w:rsid w:val="00BC460D"/>
    <w:rsid w:val="00BC4B95"/>
    <w:rsid w:val="00C12136"/>
    <w:rsid w:val="00C30570"/>
    <w:rsid w:val="00C448B8"/>
    <w:rsid w:val="00C75CE5"/>
    <w:rsid w:val="00C97E91"/>
    <w:rsid w:val="00CB69F8"/>
    <w:rsid w:val="00CC0691"/>
    <w:rsid w:val="00CC3DA0"/>
    <w:rsid w:val="00CD4E1E"/>
    <w:rsid w:val="00CF0E24"/>
    <w:rsid w:val="00CF7E01"/>
    <w:rsid w:val="00D049C9"/>
    <w:rsid w:val="00D23356"/>
    <w:rsid w:val="00D3579C"/>
    <w:rsid w:val="00D51588"/>
    <w:rsid w:val="00D56719"/>
    <w:rsid w:val="00D6613C"/>
    <w:rsid w:val="00D87A8C"/>
    <w:rsid w:val="00DD1E20"/>
    <w:rsid w:val="00DD6522"/>
    <w:rsid w:val="00E0547D"/>
    <w:rsid w:val="00E2034A"/>
    <w:rsid w:val="00E47658"/>
    <w:rsid w:val="00E47F7A"/>
    <w:rsid w:val="00E73CAA"/>
    <w:rsid w:val="00ED3137"/>
    <w:rsid w:val="00EE063E"/>
    <w:rsid w:val="00EF517C"/>
    <w:rsid w:val="00EF709C"/>
    <w:rsid w:val="00F10573"/>
    <w:rsid w:val="00F91083"/>
    <w:rsid w:val="00FA423F"/>
    <w:rsid w:val="00FE2D9D"/>
    <w:rsid w:val="00FE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C3F26F"/>
  <w15:chartTrackingRefBased/>
  <w15:docId w15:val="{E8211967-9387-D24C-AAC8-022B8E4C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2020-08-17T16:00:00Z</dcterms:created>
  <dcterms:modified xsi:type="dcterms:W3CDTF">2020-08-17T16:09:00Z</dcterms:modified>
</cp:coreProperties>
</file>