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7402" w14:textId="77777777" w:rsidR="006E2C2A" w:rsidRDefault="006E2C2A" w:rsidP="006E2C2A">
      <w:pPr>
        <w:rPr>
          <w:b/>
          <w:lang w:val="en-US"/>
        </w:rPr>
      </w:pPr>
      <w:r>
        <w:rPr>
          <w:b/>
          <w:lang w:val="en-US"/>
        </w:rPr>
        <w:t>S4 Appendix. Marketing Indicators</w:t>
      </w:r>
    </w:p>
    <w:p w14:paraId="098C3E35" w14:textId="29B58B1D" w:rsidR="006E2C2A" w:rsidRDefault="006E2C2A" w:rsidP="006E2C2A">
      <w:pPr>
        <w:rPr>
          <w:lang w:val="en-US"/>
        </w:rPr>
      </w:pPr>
      <w:r w:rsidRPr="00BE606D">
        <w:rPr>
          <w:lang w:val="en-US"/>
        </w:rPr>
        <w:t>Marketing indicators were defined a</w:t>
      </w:r>
      <w:r>
        <w:rPr>
          <w:lang w:val="en-US"/>
        </w:rPr>
        <w:t>s characteristics of NIPMS</w:t>
      </w:r>
      <w:r w:rsidR="00814088">
        <w:rPr>
          <w:lang w:val="en-US"/>
        </w:rPr>
        <w:t>s</w:t>
      </w:r>
      <w:r>
        <w:rPr>
          <w:lang w:val="en-US"/>
        </w:rPr>
        <w:t xml:space="preserve"> that suggest that the NIPMS was initiated for marketing purposes. We chose these characteristics knowing that for each of them, there may be other, non-marketing-related reasons, so that each indicator in and of itself is not enough to suggest a marketing purpose of the NIPMS. However, when several indicators are present, this may be a sign that the marketing purpose of the NIPMS carries more weight than the scientific objective. We calculated a marketing index by adding the points for each of the indicators present. The indicators were weighted by importance (see the number of points in the list below for each indicator). The indicators we chose were the following:</w:t>
      </w:r>
    </w:p>
    <w:p w14:paraId="643B23AF" w14:textId="77777777" w:rsidR="006E2C2A" w:rsidRPr="00BE606D" w:rsidRDefault="006E2C2A" w:rsidP="006E2C2A">
      <w:pPr>
        <w:pStyle w:val="Listenabsatz"/>
        <w:numPr>
          <w:ilvl w:val="0"/>
          <w:numId w:val="1"/>
        </w:numPr>
        <w:rPr>
          <w:lang w:val="en-US"/>
        </w:rPr>
      </w:pPr>
      <w:r w:rsidRPr="00387B7C">
        <w:rPr>
          <w:i/>
          <w:lang w:val="en-US"/>
        </w:rPr>
        <w:t>Remuneration is inappropriate or not clearly warranted</w:t>
      </w:r>
      <w:r>
        <w:rPr>
          <w:i/>
          <w:lang w:val="en-US"/>
        </w:rPr>
        <w:t>:</w:t>
      </w:r>
      <w:r>
        <w:rPr>
          <w:lang w:val="en-US"/>
        </w:rPr>
        <w:t xml:space="preserve"> This seemed to be the most important indicator of a marketing-purpose, as an inappropriately high remuneration suggests that the remuneration is not only compensation for the physician’s effort but additionally an incentive to prescribe the studied drug. For evaluation of appropriateness, a minimum amount of remuneration was set (€250 per patient, €100 per physician-patient-interaction on average, or €150 for a single patient-physician interaction) below which all remuneration was considered appropriate. A remuneration of €75 per hour was assumed as appropriate following </w:t>
      </w:r>
      <w:proofErr w:type="spellStart"/>
      <w:r>
        <w:rPr>
          <w:lang w:val="en-US"/>
        </w:rPr>
        <w:t>Ruppert</w:t>
      </w:r>
      <w:proofErr w:type="spellEnd"/>
      <w:r>
        <w:rPr>
          <w:lang w:val="en-US"/>
        </w:rPr>
        <w:t xml:space="preserve"> et al. </w:t>
      </w:r>
      <w:r>
        <w:rPr>
          <w:lang w:val="en-US"/>
        </w:rPr>
        <w:fldChar w:fldCharType="begin"/>
      </w:r>
      <w:r>
        <w:rPr>
          <w:lang w:val="en-US"/>
        </w:rPr>
        <w:instrText xml:space="preserve"> ADDIN ZOTERO_ITEM CSL_CITATION {"citationID":"lfsU8RMD","properties":{"formattedCitation":"[1]","plainCitation":"[1]","noteIndex":0},"citationItems":[{"id":1289,"uris":["http://zotero.org/users/2171062/items/E7XSJU4Y"],"uri":["http://zotero.org/users/2171062/items/E7XSJU4Y"],"itemData":{"id":1289,"type":"article-journal","abstract":"In 2007 the Association of Research-Based Pharmaceutical Companies (vfa) published recommendations to improve the quality and transparency of non-interventional studies. These recommendations include quality assurance measures, in particular with respect to transparency as well as for the verification of the data collected in these studies. This publication presents the results of a survey on fees in non-interventional studies which was conducted within the member companies of the vfa in June 2011. These results demonstrate a consistent adherence to the statutory requirements and the implementation of the recommendations concerning the remuneration of the study centers. Depending on the indication, the number of routine doctor/patient contacts is different and associated with that number the documentation efforts vary. Accordingly, the fee varies based on the fee schedule for physicians (German: Gebührenordnung für Ärzte) by taking into account the actual efforts at the study center.","container-title":"GMS German Medical Science","DOI":"10.3205/000155","ISSN":"1612-3174","journalAbbreviation":"Ger Med Sci","note":"PMID: 22355280\nPMCID: PMC3278977","source":"PubMed Central","title":"Remuneration for non-interventional studies – results of a survey in the pharmaceutical industry in Germany","URL":"https://www.ncbi.nlm.nih.gov/pmc/articles/PMC3278977/","volume":"10","author":[{"family":"Ruppert","given":"Thorsten"},{"family":"Hahn","given":"Michael"},{"family":"Hundt","given":"Ferdinand"}],"accessed":{"date-parts":[["2017",11,1]]},"issued":{"date-parts":[["2012",2,7]]}}}],"schema":"https://github.com/citation-style-language/schema/raw/master/csl-citation.json"} </w:instrText>
      </w:r>
      <w:r>
        <w:rPr>
          <w:lang w:val="en-US"/>
        </w:rPr>
        <w:fldChar w:fldCharType="separate"/>
      </w:r>
      <w:r w:rsidRPr="008531FE">
        <w:rPr>
          <w:rFonts w:ascii="Calibri" w:hAnsi="Calibri" w:cs="Calibri"/>
          <w:lang w:val="en-US"/>
        </w:rPr>
        <w:t>[1]</w:t>
      </w:r>
      <w:r>
        <w:rPr>
          <w:lang w:val="en-US"/>
        </w:rPr>
        <w:fldChar w:fldCharType="end"/>
      </w:r>
      <w:r>
        <w:rPr>
          <w:lang w:val="en-US"/>
        </w:rPr>
        <w:t>.The appropriateness was then rated independently by two raters and where the two raters differed, a consensus was reached after a discussion. A remuneration above the mentioned €75 per hour was considered inappropriate (2 pts. on the marketing index). When there was insufficient information to determine appropriateness, the remuneration was rated as insufficiently justified (1 pt. on the marketing index). All other remuneration was considered appropriate (0 pts. on the marketing index).</w:t>
      </w:r>
    </w:p>
    <w:p w14:paraId="4BD4E5C3" w14:textId="77777777" w:rsidR="006E2C2A" w:rsidRPr="00454CAA" w:rsidRDefault="006E2C2A" w:rsidP="006E2C2A">
      <w:pPr>
        <w:pStyle w:val="Listenabsatz"/>
        <w:numPr>
          <w:ilvl w:val="0"/>
          <w:numId w:val="1"/>
        </w:numPr>
        <w:spacing w:after="200" w:line="276" w:lineRule="auto"/>
        <w:rPr>
          <w:lang w:val="en-US"/>
        </w:rPr>
      </w:pPr>
      <w:r w:rsidRPr="00454CAA">
        <w:rPr>
          <w:i/>
          <w:lang w:val="en-US"/>
        </w:rPr>
        <w:t>Negligible effort</w:t>
      </w:r>
      <w:r w:rsidRPr="00454CAA">
        <w:rPr>
          <w:lang w:val="en-US"/>
        </w:rPr>
        <w:t>: When the p</w:t>
      </w:r>
      <w:r>
        <w:rPr>
          <w:lang w:val="en-US"/>
        </w:rPr>
        <w:t>hysicians’ role in the NIPMS was negligible, i.e. the work could also be completed by someone of another occupation or the effort was not likely to result in a relevant contribution to the study, this was counted as a marketing indicator. Two raters rated independently whether the amount of time required of the physician was less than 15 min. and as above, where the two raters differed, a consensus was reached after a discussion (0.5 pts. on the marketing index).</w:t>
      </w:r>
    </w:p>
    <w:p w14:paraId="417F46FA" w14:textId="34A6A9BC" w:rsidR="006E2C2A" w:rsidRPr="00476742" w:rsidRDefault="006E2C2A" w:rsidP="006E2C2A">
      <w:pPr>
        <w:pStyle w:val="Listenabsatz"/>
        <w:numPr>
          <w:ilvl w:val="0"/>
          <w:numId w:val="1"/>
        </w:numPr>
        <w:spacing w:after="200" w:line="276" w:lineRule="auto"/>
        <w:rPr>
          <w:lang w:val="en-US"/>
        </w:rPr>
      </w:pPr>
      <w:r w:rsidRPr="00DC3585">
        <w:rPr>
          <w:i/>
          <w:lang w:val="en-US"/>
        </w:rPr>
        <w:t xml:space="preserve">Low scientific/formal quality: </w:t>
      </w:r>
      <w:r w:rsidRPr="00DC3585">
        <w:rPr>
          <w:lang w:val="en-US"/>
        </w:rPr>
        <w:t>A</w:t>
      </w:r>
      <w:r>
        <w:rPr>
          <w:lang w:val="en-US"/>
        </w:rPr>
        <w:t xml:space="preserve"> low scientific and formal quality is another indicator for marketing use because if the scientific objective were the primary goal, the NIPMS would have to be scientifically sound and well documented. Both indicators were rated as present when less than four of six indicators of good scientific or formal quality were present (2 pts. for scientific and 1 pt. for formal quality, respectively). The indicators of good scientific and formal quality were based on recommendations by the German authorities for NIPMS</w:t>
      </w:r>
      <w:r w:rsidR="00814088">
        <w:rPr>
          <w:lang w:val="en-US"/>
        </w:rPr>
        <w:t>s</w:t>
      </w:r>
      <w:r>
        <w:rPr>
          <w:lang w:val="en-US"/>
        </w:rPr>
        <w:t xml:space="preserve"> and previous studies on the topic. For scientific quality, they included: definition of a reasonable study objective, definition of reasonable end points, description of measures taken to control confounders, calculation of a sample size, design as a prospective cohort study, definition of inclusion and exclusion criteria. For formal quality, they included: description of case report form, description of quality management, description of </w:t>
      </w:r>
      <w:proofErr w:type="spellStart"/>
      <w:r>
        <w:rPr>
          <w:lang w:val="en-US"/>
        </w:rPr>
        <w:t>statistic</w:t>
      </w:r>
      <w:proofErr w:type="spellEnd"/>
      <w:r>
        <w:rPr>
          <w:lang w:val="en-US"/>
        </w:rPr>
        <w:t xml:space="preserve"> analysis, responsibilities for quality management specified, consultation with an ethics committee, publication planned.</w:t>
      </w:r>
      <w:r w:rsidRPr="00476742">
        <w:rPr>
          <w:lang w:val="en-US"/>
        </w:rPr>
        <w:t xml:space="preserve"> </w:t>
      </w:r>
    </w:p>
    <w:p w14:paraId="4AD2B631" w14:textId="77777777" w:rsidR="006E2C2A" w:rsidRPr="00DC3585" w:rsidRDefault="006E2C2A" w:rsidP="006E2C2A">
      <w:pPr>
        <w:pStyle w:val="Listenabsatz"/>
        <w:numPr>
          <w:ilvl w:val="0"/>
          <w:numId w:val="1"/>
        </w:numPr>
        <w:spacing w:after="200" w:line="276" w:lineRule="auto"/>
        <w:rPr>
          <w:lang w:val="en-US"/>
        </w:rPr>
      </w:pPr>
      <w:r w:rsidRPr="00DC3585">
        <w:rPr>
          <w:i/>
          <w:lang w:val="en-US"/>
        </w:rPr>
        <w:t xml:space="preserve">Drug has been </w:t>
      </w:r>
      <w:r>
        <w:rPr>
          <w:i/>
          <w:lang w:val="en-US"/>
        </w:rPr>
        <w:t>on the market for too long</w:t>
      </w:r>
      <w:r>
        <w:rPr>
          <w:lang w:val="en-US"/>
        </w:rPr>
        <w:t xml:space="preserve">: This characteristic was chosen because for drugs that have been marketed for a long time, no new information is to be expected from the initiation of an NIPMS. Based on previous estimates by other authors, we set this duration at 10 years for trademark drugs and 5 years for generics (0.5 pts on the marketing index) </w:t>
      </w:r>
      <w:r>
        <w:rPr>
          <w:lang w:val="en-US"/>
        </w:rPr>
        <w:fldChar w:fldCharType="begin"/>
      </w:r>
      <w:r>
        <w:rPr>
          <w:lang w:val="en-US"/>
        </w:rPr>
        <w:instrText xml:space="preserve"> ADDIN ZOTERO_ITEM CSL_CITATION {"citationID":"ol3iFwZp","properties":{"formattedCitation":"[2]","plainCitation":"[2]","noteIndex":0},"citationItems":[{"id":1273,"uris":["http://zotero.org/users/2171062/items/MWA6BPIC"],"uri":["http://zotero.org/users/2171062/items/MWA6BPIC"],"itemData":{"id":1273,"type":"article-journal","abstract":"Purpose\nThe aim of non-interventional studies (NIS) with medicinal products is to investigate the use of authorized medicinal products in daily routine. In the past, this type of study has been subject to frequent criticism, and many recommendations have been published. The aim of our study was to assess the quality of NIS study protocols.\n\nMethods\nNearly all NIS study protocols submitted to the German Federal Institute for Drugs and Medical Devices (BfArM) within a period of one year could be analyzed. The protocols were evaluated in terms of objectives, methods and included patients, as well as with regard to their compliance with quality recommendations for NIS by federal authorities and pharmaceutical industry associations.\n\nResults\nThe 136 NIS available for study were scheduled to enroll approximately 330,000 patients (2,500 patients per study) and 43,000 healthcare professionals. Of these NIS, 58 % were performed with medicinal products that had been authorized within the past 5 years; however, 68 % of the investigated active pharmaceutical ingredients were older than 5 years, and 19 % were even older than 19 years. Only 56 % of the protocols provided information on publication policy, and 65 % required the involvement of ethic committees. The adherence to current quality recommendations was average, but the compliance of NIS performed by member companies of the Association of Research-Based Pharmaceutical Companies was significantly higher than that of other sponsors.\n\nConclusions\nCurrent quality recommendations are still not fully implemented in most NIS protocols. Therefore, the scientific value of many NIS is still questionable, and the criticism that NIS are mainly conducted for marketing reasons could not be refuted by the data analyzed here.\n\nElectronic supplementary material\nThe online version of this article (doi:10.1007/s00228-013-1482-z) contains supplementary material, which is available to authorized users.","container-title":"European Journal of Clinical Pharmacology","DOI":"10.1007/s00228-013-1482-z","ISSN":"0031-6970","issue":"7","journalAbbreviation":"Eur J Clin Pharmacol","note":"PMID: 23512215\nPMCID: PMC3676740","page":"1453-1466","source":"PubMed Central","title":"A 1-year cross-sectional analysis of non-interventional post-marketing study protocols submitted to the German Federal Institute for Drugs and Medical Devices (BfArM)","volume":"69","author":[{"family":"Jeinsen","given":"Beatrice K. J. G.","non-dropping-particle":"von"},{"family":"Sudhop","given":"Thomas"}],"issued":{"date-parts":[["2013",7]]}}}],"schema":"https://github.com/citation-style-language/schema/raw/master/csl-citation.json"} </w:instrText>
      </w:r>
      <w:r>
        <w:rPr>
          <w:lang w:val="en-US"/>
        </w:rPr>
        <w:fldChar w:fldCharType="separate"/>
      </w:r>
      <w:r w:rsidRPr="008531FE">
        <w:rPr>
          <w:rFonts w:ascii="Calibri" w:hAnsi="Calibri" w:cs="Calibri"/>
        </w:rPr>
        <w:t>[2]</w:t>
      </w:r>
      <w:r>
        <w:rPr>
          <w:lang w:val="en-US"/>
        </w:rPr>
        <w:fldChar w:fldCharType="end"/>
      </w:r>
      <w:r>
        <w:rPr>
          <w:lang w:val="en-US"/>
        </w:rPr>
        <w:t xml:space="preserve">. </w:t>
      </w:r>
    </w:p>
    <w:p w14:paraId="10A459AF" w14:textId="77777777" w:rsidR="006E2C2A" w:rsidRPr="00DC3585" w:rsidRDefault="006E2C2A" w:rsidP="006E2C2A">
      <w:pPr>
        <w:pStyle w:val="Listenabsatz"/>
        <w:numPr>
          <w:ilvl w:val="0"/>
          <w:numId w:val="1"/>
        </w:numPr>
        <w:spacing w:after="200" w:line="276" w:lineRule="auto"/>
        <w:rPr>
          <w:lang w:val="en-US"/>
        </w:rPr>
      </w:pPr>
      <w:r>
        <w:rPr>
          <w:i/>
          <w:lang w:val="en-US"/>
        </w:rPr>
        <w:lastRenderedPageBreak/>
        <w:t>Required report missing</w:t>
      </w:r>
      <w:r>
        <w:rPr>
          <w:lang w:val="en-US"/>
        </w:rPr>
        <w:t>: The lack of a plan for publication of results was also seen as an indicator for marketing use. This indicator was rated as present when publication was not mentioned as being planned or there was no report of the data on the site of the relevant authority within 12 months after conclusion of the study (0.5 pts. on the marketing index).</w:t>
      </w:r>
    </w:p>
    <w:p w14:paraId="0C1146EC" w14:textId="77777777" w:rsidR="006E2C2A" w:rsidRDefault="006E2C2A" w:rsidP="006E2C2A">
      <w:pPr>
        <w:pStyle w:val="Listenabsatz"/>
        <w:numPr>
          <w:ilvl w:val="0"/>
          <w:numId w:val="1"/>
        </w:numPr>
        <w:spacing w:after="200" w:line="276" w:lineRule="auto"/>
        <w:rPr>
          <w:lang w:val="en-US"/>
        </w:rPr>
      </w:pPr>
      <w:r w:rsidRPr="00DC3585">
        <w:rPr>
          <w:i/>
          <w:lang w:val="en-US"/>
        </w:rPr>
        <w:t>Secrecy clause</w:t>
      </w:r>
      <w:r w:rsidRPr="00DC3585">
        <w:rPr>
          <w:lang w:val="en-US"/>
        </w:rPr>
        <w:t xml:space="preserve">: </w:t>
      </w:r>
      <w:r>
        <w:rPr>
          <w:lang w:val="en-US"/>
        </w:rPr>
        <w:t xml:space="preserve">If the sample contracts between sponsors of the NIPMS and physicians contained a secrecy clause, this was considered suspicious because of the resulting lack of transparency and the risk that adverse events may not be reported to the authorities (0.5 pts. on the marketing index) </w:t>
      </w:r>
      <w:r>
        <w:rPr>
          <w:lang w:val="en-US"/>
        </w:rPr>
        <w:fldChar w:fldCharType="begin"/>
      </w:r>
      <w:r>
        <w:rPr>
          <w:lang w:val="en-US"/>
        </w:rPr>
        <w:instrText xml:space="preserve"> ADDIN ZOTERO_ITEM CSL_CITATION {"citationID":"7BVqVdQJ","properties":{"formattedCitation":"[3]","plainCitation":"[3]","noteIndex":0},"citationItems":[{"id":1269,"uris":["http://zotero.org/users/2171062/items/S943453M"],"uri":["http://zotero.org/users/2171062/items/S943453M"],"itemData":{"id":1269,"type":"article-journal","abstract":"Objectives To investigate the practice of post-marketing studies in Germany during a three year period and to evaluate whether these trials meet the aims specified in the German Medicinal Products Act.\nDesign Survey of notifications submitted to German regulatory agencies before post-marketing studies were carried out, 2008-10.\nSetting Notifications obtained through freedom of information requests to the three authorities responsible for registering post-marketing studies in Germany.\nMain outcome measures Descriptive statistics of post-marketing studies, including the products under study, intended number of patients, intended number of participating physicians, proposed remunerations, study plan and protocol, and availability of associated scientific publications and reports on adverse drug reactions.\nResults Information was obtained from 558 studies, with a median of 600 (mean 2331, range 2-75 000) patients and 63 (270, 0-7000) participating physicians per study. The median remuneration to physicians per patient was €200 (€441, €0-€7280) (£170, £0-£6200; $215, $0-$7820), with a total remuneration cost of more than €217m for 558 studies registered over the three year period. The median remuneration per participating physician per study was €2000 (mean €19 424), ranging from €0 to €2 080 000. There was a broad range of drugs and non-drug products, of which only a third represented recently approved drugs. In many notifications, data, information, and results were, by contract, strictly confidential and the sole property of the respective sponsor. No single adverse drug reaction report could be identified from any of the 558 post-marketing studies. Less than 1% of studies could be verified as published in scientific journals.\nConclusions Post-marketing studies are not improving drug safety surveillance. Sample sizes are generally too small to allow the detection of rare adverse drug reactions, and many participating physicians are strictly obliged to maintain confidentiality towards the sponsor. High remuneration and strict confidentiality clauses in these studies could influence the physicians’ reporting behaviours of adverse drug reactions.","container-title":"BMJ","DOI":"10.1136/bmj.j337","ISSN":"0959-8138, 1756-1833","journalAbbreviation":"BMJ","language":"en","note":"PMID: 28174182","page":"j337","source":"www.bmj.com","title":"Contribution of industry funded post-marketing studies to drug safety: survey of notifications submitted to regulatory agencies","title-short":"Contribution of industry funded post-marketing studies to drug safety","volume":"356","author":[{"family":"Spelsberg","given":"Angela"},{"family":"Prugger","given":"Christof"},{"family":"Doshi","given":"Peter"},{"family":"Ostrowski","given":"Kerstin"},{"family":"Witte","given":"Thomas"},{"family":"Hüsgen","given":"Dieter"},{"family":"Keil","given":"Ulrich"}],"issued":{"date-parts":[["2017",2,7]]}}}],"schema":"https://github.com/citation-style-language/schema/raw/master/csl-citation.json"} </w:instrText>
      </w:r>
      <w:r>
        <w:rPr>
          <w:lang w:val="en-US"/>
        </w:rPr>
        <w:fldChar w:fldCharType="separate"/>
      </w:r>
      <w:r w:rsidRPr="008531FE">
        <w:rPr>
          <w:rFonts w:ascii="Calibri" w:hAnsi="Calibri" w:cs="Calibri"/>
        </w:rPr>
        <w:t>[3]</w:t>
      </w:r>
      <w:r>
        <w:rPr>
          <w:lang w:val="en-US"/>
        </w:rPr>
        <w:fldChar w:fldCharType="end"/>
      </w:r>
      <w:r>
        <w:rPr>
          <w:lang w:val="en-US"/>
        </w:rPr>
        <w:t>.</w:t>
      </w:r>
    </w:p>
    <w:p w14:paraId="0DDA95FE" w14:textId="77777777" w:rsidR="006E2C2A" w:rsidRPr="008531FE" w:rsidRDefault="006E2C2A" w:rsidP="006E2C2A">
      <w:pPr>
        <w:pStyle w:val="Literaturverzeichnis"/>
        <w:rPr>
          <w:rFonts w:ascii="Calibri" w:hAnsi="Calibri" w:cs="Calibri"/>
          <w:lang w:val="en-US"/>
        </w:rPr>
      </w:pPr>
      <w:r>
        <w:rPr>
          <w:i/>
          <w:highlight w:val="green"/>
          <w:lang w:val="en-US"/>
        </w:rPr>
        <w:fldChar w:fldCharType="begin"/>
      </w:r>
      <w:r>
        <w:rPr>
          <w:i/>
          <w:highlight w:val="green"/>
          <w:lang w:val="en-US"/>
        </w:rPr>
        <w:instrText xml:space="preserve"> ADDIN ZOTERO_BIBL {"uncited":[],"omitted":[],"custom":[]} CSL_BIBLIOGRAPHY </w:instrText>
      </w:r>
      <w:r>
        <w:rPr>
          <w:i/>
          <w:highlight w:val="green"/>
          <w:lang w:val="en-US"/>
        </w:rPr>
        <w:fldChar w:fldCharType="separate"/>
      </w:r>
      <w:r w:rsidRPr="008531FE">
        <w:rPr>
          <w:rFonts w:ascii="Calibri" w:hAnsi="Calibri" w:cs="Calibri"/>
          <w:lang w:val="en-US"/>
        </w:rPr>
        <w:t xml:space="preserve">1. </w:t>
      </w:r>
      <w:r w:rsidRPr="008531FE">
        <w:rPr>
          <w:rFonts w:ascii="Calibri" w:hAnsi="Calibri" w:cs="Calibri"/>
          <w:lang w:val="en-US"/>
        </w:rPr>
        <w:tab/>
        <w:t>Ruppert T, Hahn M, Hundt F. Remuneration for non-interventional studies – results of a survey in the pharmaceutical industry in Germany. GMS Ger Med Sci [Internet]. 2012 Feb 7 [cited 2017 Nov 1];10. Available from: https://www.ncbi.nlm.nih.gov/pmc/articles/PMC3278977/</w:t>
      </w:r>
    </w:p>
    <w:p w14:paraId="15B8E4FA" w14:textId="77777777" w:rsidR="006E2C2A" w:rsidRPr="008531FE" w:rsidRDefault="006E2C2A" w:rsidP="006E2C2A">
      <w:pPr>
        <w:pStyle w:val="Literaturverzeichnis"/>
        <w:rPr>
          <w:rFonts w:ascii="Calibri" w:hAnsi="Calibri" w:cs="Calibri"/>
          <w:lang w:val="en-US"/>
        </w:rPr>
      </w:pPr>
      <w:r w:rsidRPr="008531FE">
        <w:rPr>
          <w:rFonts w:ascii="Calibri" w:hAnsi="Calibri" w:cs="Calibri"/>
          <w:lang w:val="en-US"/>
        </w:rPr>
        <w:t xml:space="preserve">2. </w:t>
      </w:r>
      <w:r w:rsidRPr="008531FE">
        <w:rPr>
          <w:rFonts w:ascii="Calibri" w:hAnsi="Calibri" w:cs="Calibri"/>
          <w:lang w:val="en-US"/>
        </w:rPr>
        <w:tab/>
        <w:t xml:space="preserve">von Jeinsen BKJG, Sudhop T. A 1-year cross-sectional analysis of non-interventional post-marketing study protocols submitted to the German Federal Institute for Drugs and Medical Devices (BfArM). Eur J Clin Pharmacol. 2013 Jul;69(7):1453–66. </w:t>
      </w:r>
    </w:p>
    <w:p w14:paraId="71350B08" w14:textId="77777777" w:rsidR="006E2C2A" w:rsidRPr="009D1DE8" w:rsidRDefault="006E2C2A" w:rsidP="006E2C2A">
      <w:pPr>
        <w:pStyle w:val="Literaturverzeichnis"/>
        <w:rPr>
          <w:rFonts w:ascii="Calibri" w:hAnsi="Calibri" w:cs="Calibri"/>
          <w:lang w:val="en-US"/>
        </w:rPr>
      </w:pPr>
      <w:r w:rsidRPr="008531FE">
        <w:rPr>
          <w:rFonts w:ascii="Calibri" w:hAnsi="Calibri" w:cs="Calibri"/>
          <w:lang w:val="en-US"/>
        </w:rPr>
        <w:t xml:space="preserve">3. </w:t>
      </w:r>
      <w:r w:rsidRPr="008531FE">
        <w:rPr>
          <w:rFonts w:ascii="Calibri" w:hAnsi="Calibri" w:cs="Calibri"/>
          <w:lang w:val="en-US"/>
        </w:rPr>
        <w:tab/>
        <w:t xml:space="preserve">Spelsberg A, Prugger C, Doshi P, Ostrowski K, Witte T, Hüsgen D, et al. Contribution of industry funded post-marketing studies to drug safety: survey of notifications submitted to regulatory agencies. </w:t>
      </w:r>
      <w:r w:rsidRPr="009D1DE8">
        <w:rPr>
          <w:rFonts w:ascii="Calibri" w:hAnsi="Calibri" w:cs="Calibri"/>
          <w:lang w:val="en-US"/>
        </w:rPr>
        <w:t xml:space="preserve">BMJ. 2017 Feb 7;356:j337. </w:t>
      </w:r>
    </w:p>
    <w:p w14:paraId="0273757F" w14:textId="1AF5254C" w:rsidR="001142D7" w:rsidRDefault="006E2C2A" w:rsidP="006E2C2A">
      <w:r>
        <w:rPr>
          <w:highlight w:val="green"/>
          <w:lang w:val="en-US"/>
        </w:rPr>
        <w:fldChar w:fldCharType="end"/>
      </w:r>
    </w:p>
    <w:sectPr w:rsidR="001142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153B3"/>
    <w:multiLevelType w:val="hybridMultilevel"/>
    <w:tmpl w:val="EDB60C58"/>
    <w:lvl w:ilvl="0" w:tplc="BC0CBF92">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2A"/>
    <w:rsid w:val="00103A90"/>
    <w:rsid w:val="006758A9"/>
    <w:rsid w:val="006E2C2A"/>
    <w:rsid w:val="00781562"/>
    <w:rsid w:val="00814088"/>
    <w:rsid w:val="00860443"/>
    <w:rsid w:val="00BC148C"/>
    <w:rsid w:val="00C80083"/>
    <w:rsid w:val="00E36755"/>
    <w:rsid w:val="00F9720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3229"/>
  <w15:chartTrackingRefBased/>
  <w15:docId w15:val="{B9ADA6C2-CD05-4A9F-8CFB-B9C21424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2C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2C2A"/>
    <w:pPr>
      <w:ind w:left="720"/>
      <w:contextualSpacing/>
    </w:pPr>
  </w:style>
  <w:style w:type="paragraph" w:styleId="Literaturverzeichnis">
    <w:name w:val="Bibliography"/>
    <w:basedOn w:val="Standard"/>
    <w:next w:val="Standard"/>
    <w:uiPriority w:val="37"/>
    <w:unhideWhenUsed/>
    <w:rsid w:val="006E2C2A"/>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1890</Words>
  <Characters>11914</Characters>
  <Application>Microsoft Office Word</Application>
  <DocSecurity>0</DocSecurity>
  <Lines>99</Lines>
  <Paragraphs>27</Paragraphs>
  <ScaleCrop>false</ScaleCrop>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Koch</dc:creator>
  <cp:keywords/>
  <dc:description/>
  <cp:lastModifiedBy>C Koch</cp:lastModifiedBy>
  <cp:revision>2</cp:revision>
  <dcterms:created xsi:type="dcterms:W3CDTF">2020-05-15T14:44:00Z</dcterms:created>
  <dcterms:modified xsi:type="dcterms:W3CDTF">2020-06-08T16:29:00Z</dcterms:modified>
</cp:coreProperties>
</file>