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73D" w:rsidRPr="00082395" w:rsidRDefault="0016073D" w:rsidP="0016073D">
      <w:pPr>
        <w:spacing w:before="100" w:beforeAutospacing="1" w:after="100" w:afterAutospacing="1"/>
        <w:rPr>
          <w:rFonts w:cstheme="minorHAnsi"/>
          <w:b/>
          <w:lang w:val="en-US"/>
        </w:rPr>
      </w:pPr>
      <w:r w:rsidRPr="00082395">
        <w:rPr>
          <w:rFonts w:cstheme="minorHAnsi"/>
          <w:b/>
          <w:lang w:val="en-US"/>
        </w:rPr>
        <w:t>S1 Text. Prospective analysis plan</w:t>
      </w:r>
    </w:p>
    <w:p w:rsidR="0016073D" w:rsidRPr="00082395" w:rsidRDefault="0016073D" w:rsidP="0016073D">
      <w:pPr>
        <w:spacing w:before="100" w:beforeAutospacing="1" w:after="100" w:afterAutospacing="1" w:line="240" w:lineRule="auto"/>
        <w:rPr>
          <w:rFonts w:cstheme="minorHAnsi"/>
          <w:lang w:val="en-US"/>
        </w:rPr>
      </w:pPr>
      <w:r w:rsidRPr="00082395">
        <w:rPr>
          <w:rFonts w:cstheme="minorHAnsi"/>
          <w:lang w:val="en-US"/>
        </w:rPr>
        <w:t xml:space="preserve">The analysis undertaken in this manuscript was described in a proposal for an internship project submitted to the </w:t>
      </w:r>
      <w:r>
        <w:rPr>
          <w:rFonts w:cstheme="minorHAnsi"/>
          <w:lang w:val="en-US"/>
        </w:rPr>
        <w:t>MSc</w:t>
      </w:r>
      <w:r w:rsidRPr="00082395">
        <w:rPr>
          <w:rFonts w:cstheme="minorHAnsi"/>
          <w:lang w:val="en-US"/>
        </w:rPr>
        <w:t xml:space="preserve"> of Research in Public Health, University Paris-</w:t>
      </w:r>
      <w:proofErr w:type="spellStart"/>
      <w:r w:rsidRPr="00082395">
        <w:rPr>
          <w:rFonts w:cstheme="minorHAnsi"/>
          <w:lang w:val="en-US"/>
        </w:rPr>
        <w:t>Saclay</w:t>
      </w:r>
      <w:proofErr w:type="spellEnd"/>
      <w:r w:rsidRPr="00082395">
        <w:rPr>
          <w:rFonts w:cstheme="minorHAnsi"/>
          <w:lang w:val="en-US"/>
        </w:rPr>
        <w:t xml:space="preserve"> in November 2018.</w:t>
      </w:r>
    </w:p>
    <w:p w:rsidR="0016073D" w:rsidRPr="00082395" w:rsidRDefault="0016073D" w:rsidP="0016073D">
      <w:pPr>
        <w:spacing w:before="100" w:beforeAutospacing="1" w:after="100" w:afterAutospacing="1" w:line="240" w:lineRule="auto"/>
        <w:rPr>
          <w:rFonts w:cstheme="minorHAnsi"/>
          <w:lang w:val="en-US"/>
        </w:rPr>
      </w:pPr>
      <w:r w:rsidRPr="00082395">
        <w:rPr>
          <w:rFonts w:cstheme="minorHAnsi"/>
          <w:lang w:val="en-US"/>
        </w:rPr>
        <w:t xml:space="preserve">Please see below a translation of the </w:t>
      </w:r>
      <w:r>
        <w:rPr>
          <w:rFonts w:cstheme="minorHAnsi"/>
          <w:lang w:val="en-US"/>
        </w:rPr>
        <w:t>MSc</w:t>
      </w:r>
      <w:r w:rsidRPr="00082395">
        <w:rPr>
          <w:rFonts w:cstheme="minorHAnsi"/>
          <w:lang w:val="en-US"/>
        </w:rPr>
        <w:t xml:space="preserve"> internship project initially written in French.</w:t>
      </w:r>
    </w:p>
    <w:p w:rsidR="0016073D" w:rsidRPr="00082395" w:rsidRDefault="0016073D" w:rsidP="0016073D">
      <w:pPr>
        <w:spacing w:after="0"/>
        <w:jc w:val="both"/>
        <w:rPr>
          <w:rFonts w:cstheme="minorHAnsi"/>
          <w:color w:val="000000"/>
          <w:lang w:val="en-US"/>
        </w:rPr>
      </w:pPr>
      <w:r w:rsidRPr="00082395">
        <w:rPr>
          <w:rFonts w:cstheme="minorHAnsi"/>
          <w:b/>
          <w:lang w:val="en-US"/>
        </w:rPr>
        <w:t>Title:</w:t>
      </w:r>
      <w:r w:rsidRPr="00082395">
        <w:rPr>
          <w:rFonts w:cstheme="minorHAnsi"/>
          <w:lang w:val="en-US"/>
        </w:rPr>
        <w:t xml:space="preserve"> </w:t>
      </w:r>
      <w:r w:rsidRPr="00082395">
        <w:rPr>
          <w:rFonts w:cstheme="minorHAnsi"/>
          <w:color w:val="000000"/>
          <w:lang w:val="en-US"/>
        </w:rPr>
        <w:t>Association between health behaviors at age 50 and risk of frailty during aging</w:t>
      </w:r>
    </w:p>
    <w:p w:rsidR="0016073D" w:rsidRPr="00082395" w:rsidRDefault="0016073D" w:rsidP="0016073D">
      <w:pPr>
        <w:tabs>
          <w:tab w:val="left" w:pos="2490"/>
        </w:tabs>
        <w:spacing w:after="0" w:line="240" w:lineRule="auto"/>
        <w:jc w:val="both"/>
        <w:rPr>
          <w:rFonts w:cstheme="minorHAnsi"/>
          <w:b/>
          <w:color w:val="000000"/>
          <w:lang w:val="en-US"/>
        </w:rPr>
      </w:pPr>
      <w:r w:rsidRPr="00082395">
        <w:rPr>
          <w:rFonts w:cstheme="minorHAnsi"/>
          <w:b/>
          <w:color w:val="000000"/>
          <w:lang w:val="en-US"/>
        </w:rPr>
        <w:t xml:space="preserve">Background: </w:t>
      </w:r>
    </w:p>
    <w:p w:rsidR="0016073D" w:rsidRPr="00082395" w:rsidRDefault="0016073D" w:rsidP="0016073D">
      <w:pPr>
        <w:tabs>
          <w:tab w:val="left" w:pos="2490"/>
        </w:tabs>
        <w:spacing w:after="0" w:line="240" w:lineRule="auto"/>
        <w:jc w:val="both"/>
        <w:rPr>
          <w:rFonts w:cstheme="minorHAnsi"/>
          <w:color w:val="000000"/>
          <w:lang w:val="en-US"/>
        </w:rPr>
      </w:pPr>
      <w:r w:rsidRPr="00082395">
        <w:rPr>
          <w:rFonts w:cstheme="minorHAnsi"/>
          <w:color w:val="000000"/>
          <w:lang w:val="en-US"/>
        </w:rPr>
        <w:t xml:space="preserve">Frailty is an age-related syndrome characterized by a high </w:t>
      </w:r>
      <w:r w:rsidRPr="00082395">
        <w:rPr>
          <w:rFonts w:cstheme="minorHAnsi"/>
          <w:lang w:val="en-US"/>
        </w:rPr>
        <w:t>vulnerability to stressors and declines in functioning of various physiological systems</w:t>
      </w:r>
      <w:r w:rsidRPr="00082395">
        <w:rPr>
          <w:rFonts w:cstheme="minorHAnsi"/>
          <w:color w:val="000000"/>
          <w:lang w:val="en-US"/>
        </w:rPr>
        <w:t>, and is associated with increased risk of mortality, disability, falls and hospitalization</w:t>
      </w:r>
      <w:r>
        <w:rPr>
          <w:rFonts w:cstheme="minorHAnsi"/>
          <w:color w:val="000000"/>
          <w:lang w:val="en-US"/>
        </w:rPr>
        <w:t xml:space="preserve"> (Fried</w:t>
      </w:r>
      <w:r w:rsidRPr="00082395">
        <w:rPr>
          <w:rFonts w:cstheme="minorHAnsi"/>
          <w:color w:val="000000"/>
          <w:lang w:val="en-US"/>
        </w:rPr>
        <w:t xml:space="preserve"> et al. 2001). With the ageing of the population, it is important to maintain people in good health while avoiding deterioration of autonomy in activities of daily living in order to reduce the risk of </w:t>
      </w:r>
      <w:proofErr w:type="spellStart"/>
      <w:r w:rsidRPr="00082395">
        <w:rPr>
          <w:rFonts w:cstheme="minorHAnsi"/>
          <w:color w:val="000000"/>
          <w:lang w:val="en-US"/>
        </w:rPr>
        <w:t>hospitalisation</w:t>
      </w:r>
      <w:proofErr w:type="spellEnd"/>
      <w:r w:rsidRPr="00082395">
        <w:rPr>
          <w:rFonts w:cstheme="minorHAnsi"/>
          <w:color w:val="000000"/>
          <w:lang w:val="en-US"/>
        </w:rPr>
        <w:t xml:space="preserve"> or </w:t>
      </w:r>
      <w:proofErr w:type="spellStart"/>
      <w:r w:rsidRPr="00082395">
        <w:rPr>
          <w:rFonts w:cstheme="minorHAnsi"/>
          <w:color w:val="000000"/>
          <w:lang w:val="en-US"/>
        </w:rPr>
        <w:t>institutionalisation</w:t>
      </w:r>
      <w:proofErr w:type="spellEnd"/>
      <w:r w:rsidRPr="00082395">
        <w:rPr>
          <w:rFonts w:cstheme="minorHAnsi"/>
          <w:color w:val="000000"/>
          <w:lang w:val="en-US"/>
        </w:rPr>
        <w:t xml:space="preserve"> (</w:t>
      </w:r>
      <w:proofErr w:type="spellStart"/>
      <w:r w:rsidRPr="00082395">
        <w:rPr>
          <w:rFonts w:cstheme="minorHAnsi"/>
          <w:color w:val="000000"/>
          <w:lang w:val="en-US"/>
        </w:rPr>
        <w:t>Hi</w:t>
      </w:r>
      <w:r>
        <w:rPr>
          <w:rFonts w:cstheme="minorHAnsi"/>
          <w:color w:val="000000"/>
          <w:lang w:val="en-US"/>
        </w:rPr>
        <w:t>llcoat-Nalletamby</w:t>
      </w:r>
      <w:proofErr w:type="spellEnd"/>
      <w:r>
        <w:rPr>
          <w:rFonts w:cstheme="minorHAnsi"/>
          <w:color w:val="000000"/>
          <w:lang w:val="en-US"/>
        </w:rPr>
        <w:t xml:space="preserve"> 2014, </w:t>
      </w:r>
      <w:proofErr w:type="spellStart"/>
      <w:r>
        <w:rPr>
          <w:rFonts w:cstheme="minorHAnsi"/>
          <w:color w:val="000000"/>
          <w:lang w:val="en-US"/>
        </w:rPr>
        <w:t>Mulasso</w:t>
      </w:r>
      <w:proofErr w:type="spellEnd"/>
      <w:r w:rsidRPr="00082395">
        <w:rPr>
          <w:rFonts w:cstheme="minorHAnsi"/>
          <w:color w:val="000000"/>
          <w:lang w:val="en-US"/>
        </w:rPr>
        <w:t xml:space="preserve"> et al. 2016, Op Het Veld et al. 2017). Health behaviors (smoking, alcohol consumption, diet, physical activity) are proposed as a key to healthy ageing (Vaes et al. 2017, </w:t>
      </w:r>
      <w:proofErr w:type="spellStart"/>
      <w:r w:rsidRPr="00082395">
        <w:rPr>
          <w:rFonts w:cstheme="minorHAnsi"/>
          <w:color w:val="000000"/>
          <w:lang w:val="en-US"/>
        </w:rPr>
        <w:t>Kehler</w:t>
      </w:r>
      <w:proofErr w:type="spellEnd"/>
      <w:r w:rsidRPr="00082395">
        <w:rPr>
          <w:rFonts w:cstheme="minorHAnsi"/>
          <w:color w:val="000000"/>
          <w:lang w:val="en-US"/>
        </w:rPr>
        <w:t xml:space="preserve"> 2018, Kojima et al. 2018, Singh-</w:t>
      </w:r>
      <w:proofErr w:type="spellStart"/>
      <w:r w:rsidRPr="00082395">
        <w:rPr>
          <w:rFonts w:cstheme="minorHAnsi"/>
          <w:color w:val="000000"/>
          <w:lang w:val="en-US"/>
        </w:rPr>
        <w:t>Manoux</w:t>
      </w:r>
      <w:proofErr w:type="spellEnd"/>
      <w:r w:rsidRPr="00082395">
        <w:rPr>
          <w:rFonts w:cstheme="minorHAnsi"/>
          <w:color w:val="000000"/>
          <w:lang w:val="en-US"/>
        </w:rPr>
        <w:t xml:space="preserve"> et al. 2018), and are also part </w:t>
      </w:r>
      <w:r>
        <w:rPr>
          <w:rFonts w:cstheme="minorHAnsi"/>
          <w:color w:val="000000"/>
          <w:lang w:val="en-US"/>
        </w:rPr>
        <w:t>of health promotion campaigns. However, t</w:t>
      </w:r>
      <w:r w:rsidRPr="00082395">
        <w:rPr>
          <w:rFonts w:cstheme="minorHAnsi"/>
          <w:color w:val="000000"/>
          <w:lang w:val="en-US"/>
        </w:rPr>
        <w:t>heir association with the risk of frailty has</w:t>
      </w:r>
      <w:r>
        <w:rPr>
          <w:rFonts w:cstheme="minorHAnsi"/>
          <w:color w:val="000000"/>
          <w:lang w:val="en-US"/>
        </w:rPr>
        <w:t xml:space="preserve"> </w:t>
      </w:r>
      <w:r w:rsidRPr="00082395">
        <w:rPr>
          <w:rFonts w:cstheme="minorHAnsi"/>
          <w:color w:val="000000"/>
          <w:lang w:val="en-US"/>
        </w:rPr>
        <w:t>been little studied and mainly in e</w:t>
      </w:r>
      <w:r>
        <w:rPr>
          <w:rFonts w:cstheme="minorHAnsi"/>
          <w:color w:val="000000"/>
          <w:lang w:val="en-US"/>
        </w:rPr>
        <w:t xml:space="preserve">lderly population (Cruz </w:t>
      </w:r>
      <w:r w:rsidRPr="00082395">
        <w:rPr>
          <w:rFonts w:cstheme="minorHAnsi"/>
          <w:color w:val="000000"/>
          <w:lang w:val="en-US"/>
        </w:rPr>
        <w:t xml:space="preserve">et al. 2017, </w:t>
      </w:r>
      <w:proofErr w:type="spellStart"/>
      <w:r w:rsidRPr="00082395">
        <w:rPr>
          <w:rFonts w:cstheme="minorHAnsi"/>
          <w:color w:val="000000"/>
          <w:lang w:val="en-US"/>
        </w:rPr>
        <w:t>Fhon</w:t>
      </w:r>
      <w:proofErr w:type="spellEnd"/>
      <w:r w:rsidRPr="00082395">
        <w:rPr>
          <w:rFonts w:cstheme="minorHAnsi"/>
          <w:color w:val="000000"/>
          <w:lang w:val="en-US"/>
        </w:rPr>
        <w:t xml:space="preserve"> et al. 2018). Furthermore, health behaviors change during aging, in part due to health conditions that may also influence the onset of frailty. It is therefore important to examine risk factors for frailty at an age when they are unlikely to be influenced by changes or risk factors that develop prior to the onset of frailty (e.g., multimorbidity) in order to avoid the risk of reverse causation.</w:t>
      </w:r>
    </w:p>
    <w:p w:rsidR="0016073D" w:rsidRPr="00082395" w:rsidRDefault="0016073D" w:rsidP="0016073D">
      <w:pPr>
        <w:pStyle w:val="EndNoteBibliographyTitle"/>
        <w:spacing w:line="240" w:lineRule="auto"/>
        <w:jc w:val="both"/>
        <w:rPr>
          <w:rFonts w:asciiTheme="minorHAnsi" w:hAnsiTheme="minorHAnsi" w:cstheme="minorHAnsi"/>
          <w:b/>
          <w:noProof w:val="0"/>
          <w:color w:val="000000"/>
        </w:rPr>
      </w:pPr>
      <w:r w:rsidRPr="00082395">
        <w:rPr>
          <w:rFonts w:asciiTheme="minorHAnsi" w:hAnsiTheme="minorHAnsi" w:cstheme="minorHAnsi"/>
          <w:b/>
          <w:noProof w:val="0"/>
          <w:color w:val="000000"/>
        </w:rPr>
        <w:t>Objectives:</w:t>
      </w:r>
    </w:p>
    <w:p w:rsidR="0016073D" w:rsidRPr="00082395" w:rsidRDefault="0016073D" w:rsidP="0016073D">
      <w:pPr>
        <w:pStyle w:val="EndNoteBibliographyTitle"/>
        <w:spacing w:line="240" w:lineRule="auto"/>
        <w:jc w:val="both"/>
        <w:rPr>
          <w:rFonts w:asciiTheme="minorHAnsi" w:hAnsiTheme="minorHAnsi" w:cstheme="minorHAnsi"/>
          <w:noProof w:val="0"/>
          <w:color w:val="000000"/>
        </w:rPr>
      </w:pPr>
      <w:r w:rsidRPr="00082395">
        <w:rPr>
          <w:rFonts w:asciiTheme="minorHAnsi" w:hAnsiTheme="minorHAnsi" w:cstheme="minorHAnsi"/>
          <w:noProof w:val="0"/>
          <w:color w:val="000000"/>
        </w:rPr>
        <w:t>The objective of this study is to examine the association of health behaviors, separately and in combination, measured at age 50 and the occurrence of frailty during aging using longitudinal data from the Whitehall II cohort.</w:t>
      </w:r>
    </w:p>
    <w:p w:rsidR="0016073D" w:rsidRPr="00082395" w:rsidRDefault="0016073D" w:rsidP="0016073D">
      <w:pPr>
        <w:pStyle w:val="EndNoteBibliographyTitle"/>
        <w:spacing w:line="240" w:lineRule="auto"/>
        <w:jc w:val="both"/>
        <w:rPr>
          <w:rFonts w:asciiTheme="minorHAnsi" w:hAnsiTheme="minorHAnsi" w:cstheme="minorHAnsi"/>
          <w:b/>
          <w:noProof w:val="0"/>
          <w:color w:val="000000"/>
        </w:rPr>
      </w:pPr>
      <w:r w:rsidRPr="00082395">
        <w:rPr>
          <w:rFonts w:asciiTheme="minorHAnsi" w:hAnsiTheme="minorHAnsi" w:cstheme="minorHAnsi"/>
          <w:b/>
          <w:noProof w:val="0"/>
          <w:color w:val="000000"/>
        </w:rPr>
        <w:t xml:space="preserve">Data Availability: </w:t>
      </w:r>
    </w:p>
    <w:p w:rsidR="0016073D" w:rsidRPr="00082395" w:rsidRDefault="0016073D" w:rsidP="0016073D">
      <w:pPr>
        <w:pStyle w:val="EndNoteBibliographyTitle"/>
        <w:spacing w:line="240" w:lineRule="auto"/>
        <w:jc w:val="both"/>
        <w:rPr>
          <w:rFonts w:asciiTheme="minorHAnsi" w:hAnsiTheme="minorHAnsi" w:cstheme="minorHAnsi"/>
          <w:noProof w:val="0"/>
          <w:color w:val="000000"/>
        </w:rPr>
      </w:pPr>
      <w:r w:rsidRPr="00082395">
        <w:rPr>
          <w:rFonts w:asciiTheme="minorHAnsi" w:hAnsiTheme="minorHAnsi" w:cstheme="minorHAnsi"/>
          <w:noProof w:val="0"/>
          <w:color w:val="000000"/>
        </w:rPr>
        <w:t>The study will be condu</w:t>
      </w:r>
      <w:r>
        <w:rPr>
          <w:rFonts w:asciiTheme="minorHAnsi" w:hAnsiTheme="minorHAnsi" w:cstheme="minorHAnsi"/>
          <w:noProof w:val="0"/>
          <w:color w:val="000000"/>
        </w:rPr>
        <w:t xml:space="preserve">cted on the Whitehall II </w:t>
      </w:r>
      <w:r w:rsidRPr="00082395">
        <w:rPr>
          <w:rFonts w:asciiTheme="minorHAnsi" w:hAnsiTheme="minorHAnsi" w:cstheme="minorHAnsi"/>
          <w:noProof w:val="0"/>
          <w:color w:val="000000"/>
        </w:rPr>
        <w:t xml:space="preserve">database. This is a prospective longitudinal cohort of 10,308 women and men. The population consists of employees of the London offices of the British Civil Service and was recruited in 1985. Data were assessed based on clinical examinations and questionnaires. During the course of the study, 11 data collection waves were carried out between 1985 and 2015. </w:t>
      </w:r>
    </w:p>
    <w:p w:rsidR="0016073D" w:rsidRPr="00082395" w:rsidRDefault="0016073D" w:rsidP="0016073D">
      <w:pPr>
        <w:pStyle w:val="EndNoteBibliographyTitle"/>
        <w:spacing w:line="240" w:lineRule="auto"/>
        <w:jc w:val="both"/>
        <w:rPr>
          <w:rFonts w:asciiTheme="minorHAnsi" w:hAnsiTheme="minorHAnsi" w:cstheme="minorHAnsi"/>
          <w:noProof w:val="0"/>
          <w:color w:val="000000"/>
        </w:rPr>
      </w:pPr>
      <w:r w:rsidRPr="00082395">
        <w:rPr>
          <w:rFonts w:asciiTheme="minorHAnsi" w:hAnsiTheme="minorHAnsi" w:cstheme="minorHAnsi"/>
          <w:noProof w:val="0"/>
          <w:color w:val="000000"/>
        </w:rPr>
        <w:t xml:space="preserve">Health behaviors, assessed by questionnaire, will include: diet, alcohol consumption, physical activity and smoking habits. </w:t>
      </w:r>
    </w:p>
    <w:p w:rsidR="0016073D" w:rsidRPr="00082395" w:rsidRDefault="0016073D" w:rsidP="0016073D">
      <w:pPr>
        <w:pStyle w:val="EndNoteBibliographyTitle"/>
        <w:spacing w:line="240" w:lineRule="auto"/>
        <w:jc w:val="both"/>
        <w:rPr>
          <w:rFonts w:asciiTheme="minorHAnsi" w:hAnsiTheme="minorHAnsi" w:cstheme="minorHAnsi"/>
          <w:noProof w:val="0"/>
          <w:color w:val="000000"/>
        </w:rPr>
      </w:pPr>
      <w:r w:rsidRPr="00082395">
        <w:rPr>
          <w:rFonts w:asciiTheme="minorHAnsi" w:hAnsiTheme="minorHAnsi" w:cstheme="minorHAnsi"/>
          <w:noProof w:val="0"/>
          <w:color w:val="000000"/>
        </w:rPr>
        <w:t xml:space="preserve">Frailty will be based on the </w:t>
      </w:r>
      <w:proofErr w:type="spellStart"/>
      <w:r w:rsidRPr="00082395">
        <w:rPr>
          <w:rFonts w:asciiTheme="minorHAnsi" w:hAnsiTheme="minorHAnsi" w:cstheme="minorHAnsi"/>
          <w:noProof w:val="0"/>
          <w:color w:val="000000"/>
        </w:rPr>
        <w:t>Fried's</w:t>
      </w:r>
      <w:proofErr w:type="spellEnd"/>
      <w:r w:rsidRPr="00082395">
        <w:rPr>
          <w:rFonts w:asciiTheme="minorHAnsi" w:hAnsiTheme="minorHAnsi" w:cstheme="minorHAnsi"/>
          <w:noProof w:val="0"/>
          <w:color w:val="000000"/>
        </w:rPr>
        <w:t xml:space="preserve"> Frailty Scale (score from 0 to 5), which consists of self-reported measures of feeling tired and lack of physical activity, and clinical measures of involuntary weight loss (greater than 5kg per year), low muscle strength (measured from grip strength), and bradykinesia (slow walking speed) (Fried et al. 2001). Frailty will be defined as having at least 3 points on the Fried scale. </w:t>
      </w:r>
    </w:p>
    <w:p w:rsidR="0016073D" w:rsidRPr="00082395" w:rsidRDefault="0016073D" w:rsidP="0016073D">
      <w:pPr>
        <w:pStyle w:val="EndNoteBibliographyTitle"/>
        <w:spacing w:line="240" w:lineRule="auto"/>
        <w:jc w:val="both"/>
        <w:rPr>
          <w:rFonts w:asciiTheme="minorHAnsi" w:hAnsiTheme="minorHAnsi" w:cstheme="minorHAnsi"/>
          <w:noProof w:val="0"/>
          <w:color w:val="000000"/>
        </w:rPr>
      </w:pPr>
      <w:r w:rsidRPr="00082395">
        <w:rPr>
          <w:rFonts w:asciiTheme="minorHAnsi" w:hAnsiTheme="minorHAnsi" w:cstheme="minorHAnsi"/>
          <w:noProof w:val="0"/>
          <w:color w:val="000000"/>
        </w:rPr>
        <w:t xml:space="preserve">Numerous adjustment variables will be taken into account in the analyses such as socio-demographic, </w:t>
      </w:r>
      <w:r>
        <w:rPr>
          <w:rFonts w:asciiTheme="minorHAnsi" w:hAnsiTheme="minorHAnsi" w:cstheme="minorHAnsi"/>
          <w:noProof w:val="0"/>
          <w:color w:val="000000"/>
        </w:rPr>
        <w:t>economic</w:t>
      </w:r>
      <w:r w:rsidRPr="00082395">
        <w:rPr>
          <w:rFonts w:asciiTheme="minorHAnsi" w:hAnsiTheme="minorHAnsi" w:cstheme="minorHAnsi"/>
          <w:noProof w:val="0"/>
          <w:color w:val="000000"/>
        </w:rPr>
        <w:t>, and health measures.</w:t>
      </w:r>
    </w:p>
    <w:p w:rsidR="0016073D" w:rsidRPr="00082395" w:rsidRDefault="0016073D" w:rsidP="0016073D">
      <w:pPr>
        <w:pStyle w:val="EndNoteBibliographyTitle"/>
        <w:spacing w:line="240" w:lineRule="auto"/>
        <w:jc w:val="both"/>
        <w:rPr>
          <w:rFonts w:asciiTheme="minorHAnsi" w:hAnsiTheme="minorHAnsi" w:cstheme="minorHAnsi"/>
          <w:b/>
          <w:noProof w:val="0"/>
          <w:color w:val="000000"/>
        </w:rPr>
      </w:pPr>
      <w:r w:rsidRPr="00082395">
        <w:rPr>
          <w:rFonts w:asciiTheme="minorHAnsi" w:hAnsiTheme="minorHAnsi" w:cstheme="minorHAnsi"/>
          <w:b/>
          <w:noProof w:val="0"/>
          <w:color w:val="000000"/>
        </w:rPr>
        <w:t xml:space="preserve">Methods:    </w:t>
      </w:r>
    </w:p>
    <w:p w:rsidR="0016073D" w:rsidRPr="00082395" w:rsidRDefault="0016073D" w:rsidP="0016073D">
      <w:pPr>
        <w:pStyle w:val="EndNoteBibliographyTitle"/>
        <w:spacing w:line="240" w:lineRule="auto"/>
        <w:jc w:val="both"/>
        <w:rPr>
          <w:rFonts w:asciiTheme="minorHAnsi" w:hAnsiTheme="minorHAnsi" w:cstheme="minorHAnsi"/>
          <w:noProof w:val="0"/>
          <w:color w:val="000000"/>
        </w:rPr>
      </w:pPr>
      <w:r w:rsidRPr="00082395">
        <w:rPr>
          <w:rFonts w:asciiTheme="minorHAnsi" w:hAnsiTheme="minorHAnsi" w:cstheme="minorHAnsi"/>
          <w:noProof w:val="0"/>
          <w:color w:val="000000"/>
        </w:rPr>
        <w:t xml:space="preserve">In order to assess the association of health behaviors, separately and in combination, with frailty onset during aging, "Illness-death" models will be used to account for interval censoring and competitive mortality risk. The outcome of interest will be frailty as a dichotomous variable, and the time until frailty is diagnosed. </w:t>
      </w:r>
    </w:p>
    <w:p w:rsidR="0016073D" w:rsidRPr="00082395" w:rsidRDefault="0016073D" w:rsidP="0016073D">
      <w:pPr>
        <w:pStyle w:val="EndNoteBibliographyTitle"/>
        <w:spacing w:before="120" w:after="120"/>
        <w:jc w:val="both"/>
        <w:rPr>
          <w:rFonts w:asciiTheme="minorHAnsi" w:hAnsiTheme="minorHAnsi" w:cstheme="minorHAnsi"/>
          <w:b/>
          <w:noProof w:val="0"/>
          <w:color w:val="000000"/>
        </w:rPr>
      </w:pPr>
    </w:p>
    <w:p w:rsidR="0016073D" w:rsidRPr="00C17C57" w:rsidRDefault="0016073D" w:rsidP="0016073D">
      <w:pPr>
        <w:pStyle w:val="EndNoteBibliographyTitle"/>
        <w:spacing w:before="120" w:after="120"/>
        <w:jc w:val="both"/>
        <w:rPr>
          <w:b/>
          <w:lang w:val="es-CO"/>
        </w:rPr>
      </w:pPr>
      <w:r w:rsidRPr="00082395">
        <w:lastRenderedPageBreak/>
        <w:fldChar w:fldCharType="begin"/>
      </w:r>
      <w:r w:rsidRPr="00C17C57">
        <w:rPr>
          <w:lang w:val="es-CO"/>
        </w:rPr>
        <w:instrText xml:space="preserve"> ADDIN EN.REFLIST </w:instrText>
      </w:r>
      <w:r w:rsidRPr="00082395">
        <w:fldChar w:fldCharType="separate"/>
      </w:r>
      <w:r w:rsidRPr="00C17C57">
        <w:rPr>
          <w:b/>
          <w:lang w:val="es-CO"/>
        </w:rPr>
        <w:t>References</w:t>
      </w:r>
    </w:p>
    <w:p w:rsidR="0016073D" w:rsidRPr="00C17C57" w:rsidRDefault="0016073D" w:rsidP="0016073D">
      <w:pPr>
        <w:pStyle w:val="EndNoteBibliographyTitle"/>
        <w:spacing w:before="120" w:after="120"/>
        <w:jc w:val="both"/>
        <w:rPr>
          <w:b/>
          <w:lang w:val="es-CO"/>
        </w:rPr>
      </w:pPr>
    </w:p>
    <w:p w:rsidR="0016073D" w:rsidRPr="00C17C57" w:rsidRDefault="0016073D" w:rsidP="0016073D">
      <w:pPr>
        <w:pStyle w:val="EndNoteBibliography"/>
        <w:spacing w:before="120" w:after="120"/>
        <w:rPr>
          <w:lang w:val="es-CO"/>
        </w:rPr>
      </w:pPr>
      <w:r>
        <w:rPr>
          <w:lang w:val="es-CO"/>
        </w:rPr>
        <w:t>Cruz DT</w:t>
      </w:r>
      <w:r w:rsidRPr="00C17C57">
        <w:rPr>
          <w:lang w:val="es-CO"/>
        </w:rPr>
        <w:t>D</w:t>
      </w:r>
      <w:r>
        <w:rPr>
          <w:lang w:val="es-CO"/>
        </w:rPr>
        <w:t>,</w:t>
      </w:r>
      <w:r w:rsidRPr="00C17C57">
        <w:rPr>
          <w:lang w:val="es-CO"/>
        </w:rPr>
        <w:t xml:space="preserve"> Vieira</w:t>
      </w:r>
      <w:r>
        <w:rPr>
          <w:lang w:val="es-CO"/>
        </w:rPr>
        <w:t xml:space="preserve"> MT</w:t>
      </w:r>
      <w:r w:rsidRPr="00C17C57">
        <w:rPr>
          <w:lang w:val="es-CO"/>
        </w:rPr>
        <w:t xml:space="preserve">, Bastos </w:t>
      </w:r>
      <w:r>
        <w:rPr>
          <w:lang w:val="es-CO"/>
        </w:rPr>
        <w:t xml:space="preserve">RR </w:t>
      </w:r>
      <w:r w:rsidRPr="00C17C57">
        <w:rPr>
          <w:lang w:val="es-CO"/>
        </w:rPr>
        <w:t xml:space="preserve">and Leite </w:t>
      </w:r>
      <w:r>
        <w:rPr>
          <w:lang w:val="es-CO"/>
        </w:rPr>
        <w:t xml:space="preserve">ICG </w:t>
      </w:r>
      <w:r w:rsidRPr="00C17C57">
        <w:rPr>
          <w:lang w:val="es-CO"/>
        </w:rPr>
        <w:t xml:space="preserve">(2017). </w:t>
      </w:r>
      <w:r w:rsidRPr="00082395">
        <w:t xml:space="preserve">"Factors associated with frailty in a community-dwelling population of older adults." </w:t>
      </w:r>
      <w:r w:rsidRPr="00C17C57">
        <w:rPr>
          <w:u w:val="single"/>
          <w:lang w:val="es-CO"/>
        </w:rPr>
        <w:t>Rev Saude Publica</w:t>
      </w:r>
      <w:r w:rsidRPr="00C17C57">
        <w:rPr>
          <w:lang w:val="es-CO"/>
        </w:rPr>
        <w:t xml:space="preserve"> </w:t>
      </w:r>
      <w:r w:rsidRPr="00C17C57">
        <w:rPr>
          <w:b/>
          <w:lang w:val="es-CO"/>
        </w:rPr>
        <w:t>51</w:t>
      </w:r>
      <w:r w:rsidRPr="00C17C57">
        <w:rPr>
          <w:lang w:val="es-CO"/>
        </w:rPr>
        <w:t>: 106.</w:t>
      </w:r>
    </w:p>
    <w:p w:rsidR="0016073D" w:rsidRPr="00082395" w:rsidRDefault="0016073D" w:rsidP="0016073D">
      <w:pPr>
        <w:pStyle w:val="EndNoteBibliography"/>
        <w:spacing w:before="120" w:after="120"/>
      </w:pPr>
      <w:r>
        <w:rPr>
          <w:lang w:val="es-CO"/>
        </w:rPr>
        <w:t>Fhon JRS</w:t>
      </w:r>
      <w:r w:rsidRPr="00C17C57">
        <w:rPr>
          <w:lang w:val="es-CO"/>
        </w:rPr>
        <w:t>, Rodrigues</w:t>
      </w:r>
      <w:r>
        <w:rPr>
          <w:lang w:val="es-CO"/>
        </w:rPr>
        <w:t xml:space="preserve"> RAP</w:t>
      </w:r>
      <w:r w:rsidRPr="00C17C57">
        <w:rPr>
          <w:lang w:val="es-CO"/>
        </w:rPr>
        <w:t>, Santos</w:t>
      </w:r>
      <w:r>
        <w:rPr>
          <w:lang w:val="es-CO"/>
        </w:rPr>
        <w:t xml:space="preserve"> JLF</w:t>
      </w:r>
      <w:r w:rsidRPr="00C17C57">
        <w:rPr>
          <w:lang w:val="es-CO"/>
        </w:rPr>
        <w:t>, Diniz</w:t>
      </w:r>
      <w:r>
        <w:rPr>
          <w:lang w:val="es-CO"/>
        </w:rPr>
        <w:t xml:space="preserve"> MA</w:t>
      </w:r>
      <w:r w:rsidRPr="00C17C57">
        <w:rPr>
          <w:lang w:val="es-CO"/>
        </w:rPr>
        <w:t>, Santos</w:t>
      </w:r>
      <w:r>
        <w:rPr>
          <w:lang w:val="es-CO"/>
        </w:rPr>
        <w:t xml:space="preserve"> EBD, </w:t>
      </w:r>
      <w:r w:rsidRPr="00C17C57">
        <w:rPr>
          <w:lang w:val="es-CO"/>
        </w:rPr>
        <w:t>Almeida</w:t>
      </w:r>
      <w:r>
        <w:rPr>
          <w:lang w:val="es-CO"/>
        </w:rPr>
        <w:t xml:space="preserve"> VC</w:t>
      </w:r>
      <w:r w:rsidRPr="00C17C57">
        <w:rPr>
          <w:lang w:val="es-CO"/>
        </w:rPr>
        <w:t xml:space="preserve"> and Giacomini </w:t>
      </w:r>
      <w:r>
        <w:rPr>
          <w:lang w:val="es-CO"/>
        </w:rPr>
        <w:t>SBL</w:t>
      </w:r>
      <w:r w:rsidRPr="00C17C57">
        <w:rPr>
          <w:lang w:val="es-CO"/>
        </w:rPr>
        <w:t xml:space="preserve">(2018). </w:t>
      </w:r>
      <w:r w:rsidRPr="00082395">
        <w:t xml:space="preserve">"Factors associated with frailty in older adults: a longitudinal study." </w:t>
      </w:r>
      <w:r w:rsidRPr="00082395">
        <w:rPr>
          <w:u w:val="single"/>
        </w:rPr>
        <w:t>Rev Saude Publica</w:t>
      </w:r>
      <w:r w:rsidRPr="00082395">
        <w:t xml:space="preserve"> </w:t>
      </w:r>
      <w:r w:rsidRPr="00082395">
        <w:rPr>
          <w:b/>
        </w:rPr>
        <w:t>52</w:t>
      </w:r>
      <w:r w:rsidRPr="00082395">
        <w:t>: 74.</w:t>
      </w:r>
    </w:p>
    <w:p w:rsidR="0016073D" w:rsidRPr="00082395" w:rsidRDefault="0016073D" w:rsidP="0016073D">
      <w:pPr>
        <w:pStyle w:val="EndNoteBibliography"/>
        <w:spacing w:before="120" w:after="120"/>
      </w:pPr>
      <w:r>
        <w:t>Fried L</w:t>
      </w:r>
      <w:r w:rsidRPr="00082395">
        <w:t xml:space="preserve"> P, Tangen</w:t>
      </w:r>
      <w:r>
        <w:t xml:space="preserve"> CM, </w:t>
      </w:r>
      <w:r w:rsidRPr="00082395">
        <w:t>Walston</w:t>
      </w:r>
      <w:r>
        <w:t xml:space="preserve"> J, </w:t>
      </w:r>
      <w:r w:rsidRPr="00082395">
        <w:t xml:space="preserve"> Newman</w:t>
      </w:r>
      <w:r>
        <w:t xml:space="preserve"> AB, </w:t>
      </w:r>
      <w:r w:rsidRPr="00082395">
        <w:t>Hirsch</w:t>
      </w:r>
      <w:r>
        <w:t xml:space="preserve"> C, </w:t>
      </w:r>
      <w:r w:rsidRPr="00082395">
        <w:t>Gottdiener</w:t>
      </w:r>
      <w:r>
        <w:t xml:space="preserve"> J, </w:t>
      </w:r>
      <w:r w:rsidRPr="00082395">
        <w:t>Seeman</w:t>
      </w:r>
      <w:r>
        <w:t xml:space="preserve"> T, </w:t>
      </w:r>
      <w:r w:rsidRPr="00082395">
        <w:t>Tracy</w:t>
      </w:r>
      <w:r>
        <w:t xml:space="preserve"> R, </w:t>
      </w:r>
      <w:r w:rsidRPr="00082395">
        <w:t>Kop</w:t>
      </w:r>
      <w:r>
        <w:t xml:space="preserve"> WJ, </w:t>
      </w:r>
      <w:r w:rsidRPr="00082395">
        <w:t>Burke</w:t>
      </w:r>
      <w:r>
        <w:t xml:space="preserve"> G and</w:t>
      </w:r>
      <w:r w:rsidRPr="00082395">
        <w:t xml:space="preserve"> McBurnie </w:t>
      </w:r>
      <w:r>
        <w:t xml:space="preserve">MA </w:t>
      </w:r>
      <w:r w:rsidRPr="00082395">
        <w:t xml:space="preserve">(2001). "Frailty in older adults: evidence for a phenotype." </w:t>
      </w:r>
      <w:r w:rsidRPr="00082395">
        <w:rPr>
          <w:u w:val="single"/>
        </w:rPr>
        <w:t>J Gerontol A Biol Sci Med Sci</w:t>
      </w:r>
      <w:r w:rsidRPr="00082395">
        <w:t xml:space="preserve"> </w:t>
      </w:r>
      <w:r w:rsidRPr="00082395">
        <w:rPr>
          <w:b/>
        </w:rPr>
        <w:t>56</w:t>
      </w:r>
      <w:r w:rsidRPr="00082395">
        <w:t>(3): M146-156.</w:t>
      </w:r>
    </w:p>
    <w:p w:rsidR="0016073D" w:rsidRPr="00FF3643" w:rsidRDefault="0016073D" w:rsidP="0016073D">
      <w:pPr>
        <w:pStyle w:val="EndNoteBibliography"/>
        <w:spacing w:before="120" w:after="120"/>
        <w:rPr>
          <w:lang w:val="en-IN"/>
        </w:rPr>
      </w:pPr>
      <w:r>
        <w:t>Hillcoat-Nalletamby S</w:t>
      </w:r>
      <w:r w:rsidRPr="00082395">
        <w:t xml:space="preserve"> (2014). "The meaning of "independence" for older people in different residential settings." </w:t>
      </w:r>
      <w:r w:rsidRPr="00FF3643">
        <w:rPr>
          <w:u w:val="single"/>
          <w:lang w:val="en-IN"/>
        </w:rPr>
        <w:t>J Gerontol B Psychol Sci Soc Sci</w:t>
      </w:r>
      <w:r w:rsidRPr="00FF3643">
        <w:rPr>
          <w:lang w:val="en-IN"/>
        </w:rPr>
        <w:t xml:space="preserve"> </w:t>
      </w:r>
      <w:r w:rsidRPr="00FF3643">
        <w:rPr>
          <w:b/>
          <w:lang w:val="en-IN"/>
        </w:rPr>
        <w:t>69</w:t>
      </w:r>
      <w:r w:rsidRPr="00FF3643">
        <w:rPr>
          <w:lang w:val="en-IN"/>
        </w:rPr>
        <w:t>(3): 419-430.</w:t>
      </w:r>
    </w:p>
    <w:p w:rsidR="0016073D" w:rsidRPr="00082395" w:rsidRDefault="0016073D" w:rsidP="0016073D">
      <w:pPr>
        <w:pStyle w:val="EndNoteBibliography"/>
        <w:spacing w:before="120" w:after="120"/>
      </w:pPr>
      <w:r w:rsidRPr="00FF3643">
        <w:rPr>
          <w:lang w:val="en-IN"/>
        </w:rPr>
        <w:t xml:space="preserve">Kehler DS (2018). </w:t>
      </w:r>
      <w:r w:rsidRPr="00082395">
        <w:t xml:space="preserve">"The impact of sedentary and physical activity behaviour on frailty in middle-aged and older adults." </w:t>
      </w:r>
      <w:r w:rsidRPr="00082395">
        <w:rPr>
          <w:u w:val="single"/>
        </w:rPr>
        <w:t>Appl Physiol Nutr Metab</w:t>
      </w:r>
      <w:r w:rsidRPr="00082395">
        <w:t xml:space="preserve"> </w:t>
      </w:r>
      <w:r w:rsidRPr="00082395">
        <w:rPr>
          <w:b/>
        </w:rPr>
        <w:t>43</w:t>
      </w:r>
      <w:r w:rsidRPr="00082395">
        <w:t>(6): 638.</w:t>
      </w:r>
    </w:p>
    <w:p w:rsidR="0016073D" w:rsidRPr="00082395" w:rsidRDefault="0016073D" w:rsidP="0016073D">
      <w:pPr>
        <w:pStyle w:val="EndNoteBibliography"/>
        <w:spacing w:before="120" w:after="120"/>
      </w:pPr>
      <w:r>
        <w:t>Kojima G</w:t>
      </w:r>
      <w:r w:rsidRPr="00082395">
        <w:t>, Iliffe</w:t>
      </w:r>
      <w:r>
        <w:t xml:space="preserve"> S,</w:t>
      </w:r>
      <w:r w:rsidRPr="00082395">
        <w:t xml:space="preserve"> Jivraj</w:t>
      </w:r>
      <w:r>
        <w:t xml:space="preserve"> S, </w:t>
      </w:r>
      <w:r w:rsidRPr="00082395">
        <w:t xml:space="preserve">Liljas </w:t>
      </w:r>
      <w:r>
        <w:t xml:space="preserve">A and </w:t>
      </w:r>
      <w:r w:rsidRPr="00082395">
        <w:t>Walters</w:t>
      </w:r>
      <w:r>
        <w:t xml:space="preserve"> K</w:t>
      </w:r>
      <w:r w:rsidRPr="00082395">
        <w:t xml:space="preserve"> (2018). "Does current smoking predict future frailty? The English longitudinal study of ageing." </w:t>
      </w:r>
      <w:r w:rsidRPr="00082395">
        <w:rPr>
          <w:u w:val="single"/>
        </w:rPr>
        <w:t>Age Ageing</w:t>
      </w:r>
      <w:r w:rsidRPr="00082395">
        <w:t xml:space="preserve"> </w:t>
      </w:r>
      <w:r w:rsidRPr="00082395">
        <w:rPr>
          <w:b/>
        </w:rPr>
        <w:t>47</w:t>
      </w:r>
      <w:r w:rsidRPr="00082395">
        <w:t>(1): 126-131.</w:t>
      </w:r>
    </w:p>
    <w:p w:rsidR="0016073D" w:rsidRPr="00082395" w:rsidRDefault="0016073D" w:rsidP="0016073D">
      <w:pPr>
        <w:pStyle w:val="EndNoteBibliography"/>
        <w:spacing w:before="120" w:after="120"/>
      </w:pPr>
      <w:r w:rsidRPr="00082395">
        <w:t>Mula</w:t>
      </w:r>
      <w:r>
        <w:t xml:space="preserve">sso A, </w:t>
      </w:r>
      <w:r w:rsidRPr="00082395">
        <w:t>Roppolo</w:t>
      </w:r>
      <w:r>
        <w:t xml:space="preserve"> M, </w:t>
      </w:r>
      <w:r w:rsidRPr="00082395">
        <w:t xml:space="preserve">Giannotta </w:t>
      </w:r>
      <w:r>
        <w:t xml:space="preserve">F and </w:t>
      </w:r>
      <w:r w:rsidRPr="00082395">
        <w:t>Rabaglietti</w:t>
      </w:r>
      <w:r>
        <w:t xml:space="preserve"> E</w:t>
      </w:r>
      <w:r w:rsidRPr="00082395">
        <w:t xml:space="preserve"> (2016). "Associations of frailty and psychosocial factors with autonomy in daily activities: a cross-sectional study in Italian community-dwelling older adults." </w:t>
      </w:r>
      <w:r w:rsidRPr="00082395">
        <w:rPr>
          <w:u w:val="single"/>
        </w:rPr>
        <w:t>Clin Interv Aging</w:t>
      </w:r>
      <w:r w:rsidRPr="00082395">
        <w:t xml:space="preserve"> </w:t>
      </w:r>
      <w:r w:rsidRPr="00082395">
        <w:rPr>
          <w:b/>
        </w:rPr>
        <w:t>11</w:t>
      </w:r>
      <w:r w:rsidRPr="00082395">
        <w:t>: 37-45.</w:t>
      </w:r>
    </w:p>
    <w:p w:rsidR="0016073D" w:rsidRPr="00082395" w:rsidRDefault="0016073D" w:rsidP="0016073D">
      <w:pPr>
        <w:pStyle w:val="EndNoteBibliography"/>
        <w:spacing w:before="120" w:after="120"/>
      </w:pPr>
      <w:r>
        <w:t>Op Het Veld LPM</w:t>
      </w:r>
      <w:r w:rsidRPr="00082395">
        <w:t>, Ament</w:t>
      </w:r>
      <w:r>
        <w:t xml:space="preserve"> BHL</w:t>
      </w:r>
      <w:r w:rsidRPr="00082395">
        <w:t>, van Rossum</w:t>
      </w:r>
      <w:r>
        <w:t xml:space="preserve"> E, </w:t>
      </w:r>
      <w:r w:rsidRPr="00082395">
        <w:t>Kempen</w:t>
      </w:r>
      <w:r>
        <w:t xml:space="preserve"> G</w:t>
      </w:r>
      <w:r w:rsidRPr="00082395">
        <w:t>, de Vet</w:t>
      </w:r>
      <w:r>
        <w:t xml:space="preserve"> HCW, </w:t>
      </w:r>
      <w:r w:rsidRPr="00082395">
        <w:t xml:space="preserve">Hajema </w:t>
      </w:r>
      <w:r>
        <w:t xml:space="preserve">K and </w:t>
      </w:r>
      <w:r w:rsidRPr="00082395">
        <w:t xml:space="preserve">Beurskens </w:t>
      </w:r>
      <w:r>
        <w:t xml:space="preserve">A </w:t>
      </w:r>
      <w:r w:rsidRPr="00082395">
        <w:t xml:space="preserve">(2017). "Can resources moderate the impact of levels of frailty on adverse outcomes among (pre-) frail older people? A longitudinal study." </w:t>
      </w:r>
      <w:r w:rsidRPr="00082395">
        <w:rPr>
          <w:u w:val="single"/>
        </w:rPr>
        <w:t>BMC Geriatr</w:t>
      </w:r>
      <w:r w:rsidRPr="00082395">
        <w:t xml:space="preserve"> </w:t>
      </w:r>
      <w:r w:rsidRPr="00082395">
        <w:rPr>
          <w:b/>
        </w:rPr>
        <w:t>17</w:t>
      </w:r>
      <w:r w:rsidRPr="00082395">
        <w:t>(1): 185.</w:t>
      </w:r>
    </w:p>
    <w:p w:rsidR="0016073D" w:rsidRPr="00082395" w:rsidRDefault="0016073D" w:rsidP="0016073D">
      <w:pPr>
        <w:pStyle w:val="EndNoteBibliography"/>
        <w:spacing w:before="120" w:after="120"/>
      </w:pPr>
      <w:r>
        <w:t xml:space="preserve">Singh-Manoux A, </w:t>
      </w:r>
      <w:r w:rsidRPr="00082395">
        <w:t>Fayosse</w:t>
      </w:r>
      <w:r>
        <w:t xml:space="preserve"> A,</w:t>
      </w:r>
      <w:r w:rsidRPr="00082395">
        <w:t xml:space="preserve"> Sabia</w:t>
      </w:r>
      <w:r>
        <w:t xml:space="preserve"> S, </w:t>
      </w:r>
      <w:r w:rsidRPr="00082395">
        <w:t>Tabak</w:t>
      </w:r>
      <w:r>
        <w:t xml:space="preserve"> A, </w:t>
      </w:r>
      <w:r w:rsidRPr="00082395">
        <w:t>Shipley</w:t>
      </w:r>
      <w:r>
        <w:t xml:space="preserve"> M, </w:t>
      </w:r>
      <w:r w:rsidRPr="00082395">
        <w:t xml:space="preserve">Dugravot </w:t>
      </w:r>
      <w:r>
        <w:t>A and</w:t>
      </w:r>
      <w:r w:rsidRPr="00082395">
        <w:t xml:space="preserve"> Kivim</w:t>
      </w:r>
      <w:r w:rsidR="00215520">
        <w:t>ä</w:t>
      </w:r>
      <w:r w:rsidRPr="00082395">
        <w:t xml:space="preserve">ki </w:t>
      </w:r>
      <w:r>
        <w:t xml:space="preserve">M </w:t>
      </w:r>
      <w:r w:rsidRPr="00082395">
        <w:t xml:space="preserve">(2018). "Clinical, socioeconomic, and behavioural factors at age 50 years and risk of cardiometabolic multimorbidity and mortality: A cohort study." </w:t>
      </w:r>
      <w:r w:rsidRPr="00082395">
        <w:rPr>
          <w:u w:val="single"/>
        </w:rPr>
        <w:t>PLoS Med</w:t>
      </w:r>
      <w:r w:rsidRPr="00082395">
        <w:t xml:space="preserve"> </w:t>
      </w:r>
      <w:r w:rsidRPr="00082395">
        <w:rPr>
          <w:b/>
        </w:rPr>
        <w:t>15</w:t>
      </w:r>
      <w:r w:rsidRPr="00082395">
        <w:t>(5): e1002571.</w:t>
      </w:r>
    </w:p>
    <w:p w:rsidR="0016073D" w:rsidRPr="00082395" w:rsidRDefault="0016073D" w:rsidP="0016073D">
      <w:pPr>
        <w:pStyle w:val="EndNoteBibliography"/>
        <w:spacing w:before="120" w:after="120"/>
      </w:pPr>
      <w:r>
        <w:t>Vaes</w:t>
      </w:r>
      <w:r w:rsidRPr="00082395">
        <w:t xml:space="preserve"> B</w:t>
      </w:r>
      <w:r>
        <w:t>,</w:t>
      </w:r>
      <w:r w:rsidRPr="00082395">
        <w:t xml:space="preserve"> Depoortere</w:t>
      </w:r>
      <w:r>
        <w:t xml:space="preserve"> D, v</w:t>
      </w:r>
      <w:r w:rsidRPr="00082395">
        <w:t>an Pottelbergh</w:t>
      </w:r>
      <w:r>
        <w:t xml:space="preserve"> G, </w:t>
      </w:r>
      <w:r w:rsidRPr="00082395">
        <w:t>Mathei</w:t>
      </w:r>
      <w:r>
        <w:t xml:space="preserve"> C, </w:t>
      </w:r>
      <w:r w:rsidRPr="00082395">
        <w:t xml:space="preserve">Neto </w:t>
      </w:r>
      <w:r>
        <w:t xml:space="preserve">J and </w:t>
      </w:r>
      <w:r w:rsidRPr="00082395">
        <w:t xml:space="preserve">Degryse </w:t>
      </w:r>
      <w:r>
        <w:t xml:space="preserve">J </w:t>
      </w:r>
      <w:r w:rsidRPr="00082395">
        <w:t xml:space="preserve">(2017). "Association between traditional cardiovascular risk factors and mortality in the oldest old: untangling the role of frailty." </w:t>
      </w:r>
      <w:r w:rsidRPr="00082395">
        <w:rPr>
          <w:u w:val="single"/>
        </w:rPr>
        <w:t>BMC Geriatr</w:t>
      </w:r>
      <w:r w:rsidRPr="00082395">
        <w:t xml:space="preserve"> </w:t>
      </w:r>
      <w:r w:rsidRPr="00082395">
        <w:rPr>
          <w:b/>
        </w:rPr>
        <w:t>17</w:t>
      </w:r>
      <w:r w:rsidRPr="00082395">
        <w:t>(1): 234.</w:t>
      </w:r>
    </w:p>
    <w:p w:rsidR="0016073D" w:rsidRPr="00082395" w:rsidRDefault="0016073D" w:rsidP="0016073D">
      <w:pPr>
        <w:tabs>
          <w:tab w:val="left" w:pos="2490"/>
        </w:tabs>
        <w:spacing w:before="120" w:after="120"/>
        <w:jc w:val="both"/>
        <w:rPr>
          <w:rFonts w:cstheme="minorHAnsi"/>
          <w:lang w:val="en-US"/>
        </w:rPr>
      </w:pPr>
      <w:r w:rsidRPr="00082395">
        <w:rPr>
          <w:rFonts w:cstheme="minorHAnsi"/>
          <w:lang w:val="en-US"/>
        </w:rPr>
        <w:fldChar w:fldCharType="end"/>
      </w:r>
      <w:bookmarkStart w:id="0" w:name="_GoBack"/>
      <w:bookmarkEnd w:id="0"/>
    </w:p>
    <w:p w:rsidR="0016073D" w:rsidRPr="00082395" w:rsidRDefault="0016073D" w:rsidP="0016073D">
      <w:pPr>
        <w:rPr>
          <w:lang w:val="en-US"/>
        </w:rPr>
      </w:pPr>
    </w:p>
    <w:p w:rsidR="0016073D" w:rsidRPr="00082395" w:rsidRDefault="0016073D" w:rsidP="0016073D">
      <w:pPr>
        <w:rPr>
          <w:lang w:val="en-US"/>
        </w:rPr>
      </w:pPr>
    </w:p>
    <w:p w:rsidR="0016073D" w:rsidRPr="00082395" w:rsidRDefault="0016073D" w:rsidP="0016073D">
      <w:pPr>
        <w:rPr>
          <w:lang w:val="en-US"/>
        </w:rPr>
      </w:pPr>
    </w:p>
    <w:p w:rsidR="00312D0F" w:rsidRPr="00082395" w:rsidRDefault="00312D0F" w:rsidP="00312D0F">
      <w:pPr>
        <w:rPr>
          <w:lang w:val="en-US"/>
        </w:rPr>
      </w:pPr>
    </w:p>
    <w:p w:rsidR="00AE1A90" w:rsidRPr="008A5643" w:rsidRDefault="00AE1A90" w:rsidP="008A5643">
      <w:pPr>
        <w:spacing w:line="259" w:lineRule="auto"/>
        <w:rPr>
          <w:rFonts w:cstheme="minorHAnsi"/>
          <w:b/>
          <w:lang w:val="en-US"/>
        </w:rPr>
      </w:pPr>
    </w:p>
    <w:sectPr w:rsidR="00AE1A90" w:rsidRPr="008A5643" w:rsidSect="008A564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912" w:rsidRDefault="00CB3912" w:rsidP="00750705">
      <w:pPr>
        <w:spacing w:after="0" w:line="240" w:lineRule="auto"/>
      </w:pPr>
      <w:r>
        <w:separator/>
      </w:r>
    </w:p>
  </w:endnote>
  <w:endnote w:type="continuationSeparator" w:id="0">
    <w:p w:rsidR="00CB3912" w:rsidRDefault="00CB3912" w:rsidP="0075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912" w:rsidRDefault="00CB3912" w:rsidP="00750705">
      <w:pPr>
        <w:spacing w:after="0" w:line="240" w:lineRule="auto"/>
      </w:pPr>
      <w:r>
        <w:separator/>
      </w:r>
    </w:p>
  </w:footnote>
  <w:footnote w:type="continuationSeparator" w:id="0">
    <w:p w:rsidR="00CB3912" w:rsidRDefault="00CB3912" w:rsidP="00750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705" w:rsidRPr="00A71FD6" w:rsidRDefault="00750705" w:rsidP="00750705">
    <w:pPr>
      <w:spacing w:line="240" w:lineRule="auto"/>
      <w:rPr>
        <w:rFonts w:cstheme="minorHAnsi"/>
        <w:b/>
        <w:lang w:val="en-US"/>
      </w:rPr>
    </w:pPr>
    <w:bookmarkStart w:id="1" w:name="_Hlk39739638"/>
    <w:r w:rsidRPr="00A71FD6">
      <w:rPr>
        <w:rFonts w:cstheme="minorHAnsi"/>
        <w:b/>
        <w:lang w:val="en-US" w:eastAsia="fr-FR"/>
      </w:rPr>
      <w:t>Healthy behaviors at age 50 years and frailty at older ages in a 20-year follow-up of the Whitehall II cohort: a longitudinal study</w:t>
    </w:r>
    <w:r w:rsidRPr="00A71FD6" w:rsidDel="00F808F9">
      <w:rPr>
        <w:rFonts w:cstheme="minorHAnsi"/>
        <w:b/>
        <w:lang w:val="en-US"/>
      </w:rPr>
      <w:t xml:space="preserve"> </w:t>
    </w:r>
  </w:p>
  <w:p w:rsidR="00750705" w:rsidRPr="00A71FD6" w:rsidRDefault="00750705" w:rsidP="00750705">
    <w:pPr>
      <w:spacing w:line="240" w:lineRule="auto"/>
      <w:rPr>
        <w:rFonts w:cstheme="minorHAnsi"/>
        <w:lang w:val="en-US"/>
      </w:rPr>
    </w:pPr>
    <w:r w:rsidRPr="00A71FD6">
      <w:rPr>
        <w:rFonts w:cstheme="minorHAnsi"/>
        <w:lang w:val="en-US"/>
      </w:rPr>
      <w:t>Andres Gil-Salcedo,</w:t>
    </w:r>
    <w:r w:rsidRPr="00A71FD6">
      <w:rPr>
        <w:rFonts w:cstheme="minorHAnsi"/>
        <w:vertAlign w:val="superscript"/>
        <w:lang w:val="en-US"/>
      </w:rPr>
      <w:t xml:space="preserve"> </w:t>
    </w:r>
    <w:r w:rsidRPr="00A71FD6">
      <w:rPr>
        <w:rFonts w:cstheme="minorHAnsi"/>
        <w:lang w:val="en-US"/>
      </w:rPr>
      <w:t xml:space="preserve">Aline </w:t>
    </w:r>
    <w:proofErr w:type="spellStart"/>
    <w:r w:rsidRPr="00A71FD6">
      <w:rPr>
        <w:rFonts w:cstheme="minorHAnsi"/>
        <w:lang w:val="en-US"/>
      </w:rPr>
      <w:t>Dugravot</w:t>
    </w:r>
    <w:proofErr w:type="spellEnd"/>
    <w:r w:rsidRPr="00A71FD6">
      <w:rPr>
        <w:rFonts w:cstheme="minorHAnsi"/>
        <w:lang w:val="en-US"/>
      </w:rPr>
      <w:t xml:space="preserve">, Aurore </w:t>
    </w:r>
    <w:proofErr w:type="spellStart"/>
    <w:r w:rsidRPr="00A71FD6">
      <w:rPr>
        <w:rFonts w:cstheme="minorHAnsi"/>
        <w:lang w:val="en-US"/>
      </w:rPr>
      <w:t>Fayosse,Julien</w:t>
    </w:r>
    <w:proofErr w:type="spellEnd"/>
    <w:r w:rsidRPr="00A71FD6">
      <w:rPr>
        <w:rFonts w:cstheme="minorHAnsi"/>
        <w:lang w:val="en-US"/>
      </w:rPr>
      <w:t xml:space="preserve">  </w:t>
    </w:r>
    <w:proofErr w:type="spellStart"/>
    <w:r w:rsidRPr="00A71FD6">
      <w:rPr>
        <w:rFonts w:cstheme="minorHAnsi"/>
        <w:lang w:val="en-US"/>
      </w:rPr>
      <w:t>Dumurgier</w:t>
    </w:r>
    <w:proofErr w:type="spellEnd"/>
    <w:r w:rsidRPr="00A71FD6">
      <w:rPr>
        <w:rFonts w:cstheme="minorHAnsi"/>
        <w:lang w:val="en-US"/>
      </w:rPr>
      <w:t xml:space="preserve">, Kim Bouillon, Alexis Schnitzler, Mika </w:t>
    </w:r>
    <w:proofErr w:type="spellStart"/>
    <w:r w:rsidRPr="00A71FD6">
      <w:rPr>
        <w:rFonts w:cstheme="minorHAnsi"/>
        <w:lang w:val="en-US"/>
      </w:rPr>
      <w:t>Kivimäki</w:t>
    </w:r>
    <w:proofErr w:type="spellEnd"/>
    <w:r w:rsidRPr="00A71FD6">
      <w:rPr>
        <w:rFonts w:cstheme="minorHAnsi"/>
        <w:lang w:val="en-US"/>
      </w:rPr>
      <w:t>, Archana Singh-</w:t>
    </w:r>
    <w:proofErr w:type="spellStart"/>
    <w:r w:rsidRPr="00A71FD6">
      <w:rPr>
        <w:rFonts w:cstheme="minorHAnsi"/>
        <w:lang w:val="en-US"/>
      </w:rPr>
      <w:t>Manoux</w:t>
    </w:r>
    <w:proofErr w:type="spellEnd"/>
    <w:r w:rsidRPr="00A71FD6">
      <w:rPr>
        <w:rFonts w:cstheme="minorHAnsi"/>
        <w:lang w:val="en-US"/>
      </w:rPr>
      <w:t>,</w:t>
    </w:r>
    <w:r w:rsidRPr="00A71FD6">
      <w:rPr>
        <w:rFonts w:cstheme="minorHAnsi"/>
        <w:vertAlign w:val="superscript"/>
        <w:lang w:val="en-US"/>
      </w:rPr>
      <w:t xml:space="preserve"> </w:t>
    </w:r>
    <w:r w:rsidRPr="00A71FD6">
      <w:rPr>
        <w:rFonts w:cstheme="minorHAnsi"/>
        <w:lang w:val="en-US"/>
      </w:rPr>
      <w:t>Séverine Sabia.</w:t>
    </w:r>
  </w:p>
  <w:bookmarkEnd w:id="1"/>
  <w:p w:rsidR="00750705" w:rsidRPr="00750705" w:rsidRDefault="00750705">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221"/>
    <w:rsid w:val="0016073D"/>
    <w:rsid w:val="00215520"/>
    <w:rsid w:val="00312D0F"/>
    <w:rsid w:val="0055425B"/>
    <w:rsid w:val="00594989"/>
    <w:rsid w:val="00703A44"/>
    <w:rsid w:val="00750705"/>
    <w:rsid w:val="008A5643"/>
    <w:rsid w:val="009B4550"/>
    <w:rsid w:val="00A50221"/>
    <w:rsid w:val="00AE1A90"/>
    <w:rsid w:val="00BF2ECE"/>
    <w:rsid w:val="00CB3912"/>
    <w:rsid w:val="00D932E5"/>
    <w:rsid w:val="00E83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D4FA"/>
  <w15:chartTrackingRefBased/>
  <w15:docId w15:val="{662769E9-269D-4F01-B5D1-9BDAF90F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221"/>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16073D"/>
    <w:pPr>
      <w:spacing w:after="0" w:line="259" w:lineRule="auto"/>
      <w:jc w:val="center"/>
    </w:pPr>
    <w:rPr>
      <w:rFonts w:ascii="Calibri" w:hAnsi="Calibri" w:cs="Calibri"/>
      <w:noProof/>
      <w:lang w:val="en-US"/>
    </w:rPr>
  </w:style>
  <w:style w:type="character" w:customStyle="1" w:styleId="EndNoteBibliographyTitleCar">
    <w:name w:val="EndNote Bibliography Title Car"/>
    <w:basedOn w:val="DefaultParagraphFont"/>
    <w:link w:val="EndNoteBibliographyTitle"/>
    <w:rsid w:val="0016073D"/>
    <w:rPr>
      <w:rFonts w:ascii="Calibri" w:hAnsi="Calibri" w:cs="Calibri"/>
      <w:noProof/>
      <w:lang w:val="en-US"/>
    </w:rPr>
  </w:style>
  <w:style w:type="paragraph" w:customStyle="1" w:styleId="EndNoteBibliography">
    <w:name w:val="EndNote Bibliography"/>
    <w:basedOn w:val="Normal"/>
    <w:link w:val="EndNoteBibliographyCar"/>
    <w:rsid w:val="0016073D"/>
    <w:pPr>
      <w:spacing w:line="240" w:lineRule="auto"/>
      <w:jc w:val="both"/>
    </w:pPr>
    <w:rPr>
      <w:rFonts w:ascii="Calibri" w:hAnsi="Calibri" w:cs="Calibri"/>
      <w:noProof/>
      <w:lang w:val="en-US"/>
    </w:rPr>
  </w:style>
  <w:style w:type="character" w:customStyle="1" w:styleId="EndNoteBibliographyCar">
    <w:name w:val="EndNote Bibliography Car"/>
    <w:basedOn w:val="DefaultParagraphFont"/>
    <w:link w:val="EndNoteBibliography"/>
    <w:rsid w:val="0016073D"/>
    <w:rPr>
      <w:rFonts w:ascii="Calibri" w:hAnsi="Calibri" w:cs="Calibri"/>
      <w:noProof/>
      <w:lang w:val="en-US"/>
    </w:rPr>
  </w:style>
  <w:style w:type="paragraph" w:styleId="Header">
    <w:name w:val="header"/>
    <w:basedOn w:val="Normal"/>
    <w:link w:val="HeaderChar"/>
    <w:uiPriority w:val="99"/>
    <w:unhideWhenUsed/>
    <w:rsid w:val="007507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705"/>
  </w:style>
  <w:style w:type="paragraph" w:styleId="Footer">
    <w:name w:val="footer"/>
    <w:basedOn w:val="Normal"/>
    <w:link w:val="FooterChar"/>
    <w:uiPriority w:val="99"/>
    <w:unhideWhenUsed/>
    <w:rsid w:val="007507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4691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GIL</dc:creator>
  <cp:keywords/>
  <dc:description/>
  <cp:lastModifiedBy>Séverine Sabia</cp:lastModifiedBy>
  <cp:revision>4</cp:revision>
  <dcterms:created xsi:type="dcterms:W3CDTF">2020-02-25T13:32:00Z</dcterms:created>
  <dcterms:modified xsi:type="dcterms:W3CDTF">2020-05-07T08:32:00Z</dcterms:modified>
</cp:coreProperties>
</file>