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46DA2" w14:textId="157730B4" w:rsidR="00D87AF7" w:rsidRDefault="00D87AF7" w:rsidP="005B567D">
      <w:pPr>
        <w:pStyle w:val="TableTitle"/>
        <w:rPr>
          <w:sz w:val="22"/>
          <w:szCs w:val="22"/>
        </w:rPr>
      </w:pPr>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p w14:paraId="18942EB4" w14:textId="07D0638B" w:rsidR="00C960AB" w:rsidRDefault="00C960AB" w:rsidP="005B567D">
      <w:pPr>
        <w:pStyle w:val="TableTitle"/>
        <w:rPr>
          <w:sz w:val="22"/>
          <w:szCs w:val="22"/>
        </w:rPr>
      </w:pPr>
    </w:p>
    <w:p w14:paraId="5119BD7F" w14:textId="77777777" w:rsidR="00C960AB" w:rsidRPr="00640326" w:rsidRDefault="00C960AB" w:rsidP="00C960AB">
      <w:pPr>
        <w:pStyle w:val="TableTitle"/>
        <w:rPr>
          <w:b/>
          <w:bCs/>
          <w:sz w:val="22"/>
          <w:szCs w:val="22"/>
        </w:rPr>
      </w:pPr>
      <w:r w:rsidRPr="00640326">
        <w:rPr>
          <w:b/>
          <w:bCs/>
          <w:sz w:val="22"/>
          <w:szCs w:val="22"/>
        </w:rPr>
        <w:t>Excerpts are listed below the checklist</w:t>
      </w:r>
    </w:p>
    <w:p w14:paraId="60878F28" w14:textId="7FAAA8C6" w:rsidR="00C960AB" w:rsidRPr="00CE4480" w:rsidRDefault="00C960AB" w:rsidP="005B567D">
      <w:pPr>
        <w:pStyle w:val="TableTitle"/>
        <w:rPr>
          <w:sz w:val="22"/>
          <w:szCs w:val="22"/>
        </w:rPr>
      </w:pPr>
    </w:p>
    <w:tbl>
      <w:tblPr>
        <w:tblW w:w="0" w:type="auto"/>
        <w:tblBorders>
          <w:insideH w:val="single" w:sz="4" w:space="0" w:color="auto"/>
        </w:tblBorders>
        <w:tblLook w:val="0000" w:firstRow="0" w:lastRow="0" w:firstColumn="0" w:lastColumn="0" w:noHBand="0" w:noVBand="0"/>
      </w:tblPr>
      <w:tblGrid>
        <w:gridCol w:w="2059"/>
        <w:gridCol w:w="686"/>
        <w:gridCol w:w="5305"/>
        <w:gridCol w:w="1591"/>
      </w:tblGrid>
      <w:tr w:rsidR="00F968F7" w:rsidRPr="0022554A" w14:paraId="6A525A19" w14:textId="77777777" w:rsidTr="00F968F7">
        <w:tc>
          <w:tcPr>
            <w:tcW w:w="0" w:type="auto"/>
          </w:tcPr>
          <w:p w14:paraId="0D9E8E63" w14:textId="77777777" w:rsidR="00F968F7" w:rsidRPr="0022554A" w:rsidRDefault="00F968F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16C917BA" w14:textId="77777777" w:rsidR="00F968F7" w:rsidRPr="0022554A" w:rsidRDefault="00F968F7"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14:paraId="3B9FFC8C" w14:textId="77777777" w:rsidR="00F968F7" w:rsidRPr="0022554A" w:rsidRDefault="00F968F7"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14:paraId="03A84B03" w14:textId="60A7AAF2" w:rsidR="00F968F7" w:rsidRPr="0022554A" w:rsidRDefault="00F968F7" w:rsidP="0022554A">
            <w:pPr>
              <w:pStyle w:val="TableHeader"/>
              <w:tabs>
                <w:tab w:val="left" w:pos="5400"/>
              </w:tabs>
              <w:jc w:val="center"/>
              <w:rPr>
                <w:bCs/>
                <w:sz w:val="20"/>
              </w:rPr>
            </w:pPr>
            <w:r>
              <w:rPr>
                <w:bCs/>
                <w:sz w:val="20"/>
              </w:rPr>
              <w:t>P</w:t>
            </w:r>
            <w:r w:rsidR="00DB1904">
              <w:rPr>
                <w:bCs/>
                <w:sz w:val="20"/>
              </w:rPr>
              <w:t>aragraph</w:t>
            </w:r>
            <w:r>
              <w:rPr>
                <w:bCs/>
                <w:sz w:val="20"/>
              </w:rPr>
              <w:br/>
              <w:t>No</w:t>
            </w:r>
          </w:p>
        </w:tc>
      </w:tr>
      <w:tr w:rsidR="00F968F7" w:rsidRPr="0022554A" w14:paraId="62AA7B8E" w14:textId="77777777" w:rsidTr="00F968F7">
        <w:tc>
          <w:tcPr>
            <w:tcW w:w="0" w:type="auto"/>
            <w:vMerge w:val="restart"/>
          </w:tcPr>
          <w:p w14:paraId="74577122" w14:textId="6144576A" w:rsidR="00F968F7" w:rsidRPr="002602FB" w:rsidRDefault="00F968F7"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599C0F73" w14:textId="77777777" w:rsidR="00F968F7" w:rsidRPr="0022554A" w:rsidRDefault="00F968F7" w:rsidP="0022554A">
            <w:pPr>
              <w:tabs>
                <w:tab w:val="left" w:pos="5400"/>
              </w:tabs>
              <w:jc w:val="center"/>
              <w:rPr>
                <w:sz w:val="20"/>
              </w:rPr>
            </w:pPr>
            <w:r w:rsidRPr="0022554A">
              <w:rPr>
                <w:sz w:val="20"/>
              </w:rPr>
              <w:t>1</w:t>
            </w:r>
          </w:p>
        </w:tc>
        <w:tc>
          <w:tcPr>
            <w:tcW w:w="0" w:type="auto"/>
            <w:tcBorders>
              <w:right w:val="single" w:sz="4" w:space="0" w:color="auto"/>
            </w:tcBorders>
          </w:tcPr>
          <w:p w14:paraId="53099068"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14:paraId="30F5D99F" w14:textId="2837FDA3" w:rsidR="00F968F7" w:rsidRPr="0022554A" w:rsidRDefault="00DB1904" w:rsidP="0022554A">
            <w:pPr>
              <w:tabs>
                <w:tab w:val="left" w:pos="5400"/>
              </w:tabs>
              <w:rPr>
                <w:sz w:val="20"/>
              </w:rPr>
            </w:pPr>
            <w:r>
              <w:rPr>
                <w:sz w:val="20"/>
              </w:rPr>
              <w:t>See Title</w:t>
            </w:r>
          </w:p>
        </w:tc>
      </w:tr>
      <w:tr w:rsidR="00F968F7" w:rsidRPr="0022554A" w14:paraId="363F645F" w14:textId="77777777" w:rsidTr="00F968F7">
        <w:tc>
          <w:tcPr>
            <w:tcW w:w="0" w:type="auto"/>
            <w:vMerge/>
          </w:tcPr>
          <w:p w14:paraId="4152EBC6" w14:textId="77777777" w:rsidR="00F968F7" w:rsidRPr="0022554A" w:rsidRDefault="00F968F7" w:rsidP="0022554A">
            <w:pPr>
              <w:tabs>
                <w:tab w:val="left" w:pos="5400"/>
              </w:tabs>
              <w:rPr>
                <w:bCs/>
                <w:sz w:val="20"/>
              </w:rPr>
            </w:pPr>
            <w:bookmarkStart w:id="11" w:name="bold6" w:colFirst="0" w:colLast="0"/>
            <w:bookmarkStart w:id="12" w:name="italic7" w:colFirst="0" w:colLast="0"/>
          </w:p>
        </w:tc>
        <w:tc>
          <w:tcPr>
            <w:tcW w:w="0" w:type="auto"/>
            <w:vMerge/>
          </w:tcPr>
          <w:p w14:paraId="252BE811"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2072A58D"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6945CFBD" w14:textId="19D71A83" w:rsidR="00F968F7" w:rsidRPr="0022554A" w:rsidRDefault="00B2605D" w:rsidP="0022554A">
            <w:pPr>
              <w:tabs>
                <w:tab w:val="left" w:pos="5400"/>
              </w:tabs>
              <w:rPr>
                <w:sz w:val="20"/>
              </w:rPr>
            </w:pPr>
            <w:r>
              <w:rPr>
                <w:sz w:val="20"/>
              </w:rPr>
              <w:t>See Abstract</w:t>
            </w:r>
          </w:p>
        </w:tc>
      </w:tr>
      <w:tr w:rsidR="00F968F7" w:rsidRPr="0022554A" w14:paraId="7778EB44" w14:textId="77777777" w:rsidTr="00666F94">
        <w:tc>
          <w:tcPr>
            <w:tcW w:w="0" w:type="auto"/>
            <w:gridSpan w:val="4"/>
          </w:tcPr>
          <w:p w14:paraId="38FA5AC4" w14:textId="405D4D3B" w:rsidR="00F968F7" w:rsidRPr="0022554A" w:rsidRDefault="00F968F7"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8B4D60" w:rsidRPr="0022554A" w14:paraId="1C292501" w14:textId="77777777" w:rsidTr="00F968F7">
        <w:tc>
          <w:tcPr>
            <w:tcW w:w="0" w:type="auto"/>
          </w:tcPr>
          <w:p w14:paraId="74E67647" w14:textId="77777777" w:rsidR="008B4D60" w:rsidRPr="0022554A" w:rsidRDefault="008B4D60" w:rsidP="008B4D60">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48547542" w14:textId="77777777" w:rsidR="008B4D60" w:rsidRPr="0022554A" w:rsidRDefault="008B4D60" w:rsidP="008B4D60">
            <w:pPr>
              <w:tabs>
                <w:tab w:val="left" w:pos="5400"/>
              </w:tabs>
              <w:jc w:val="center"/>
              <w:rPr>
                <w:sz w:val="20"/>
              </w:rPr>
            </w:pPr>
            <w:r w:rsidRPr="0022554A">
              <w:rPr>
                <w:sz w:val="20"/>
              </w:rPr>
              <w:t>2</w:t>
            </w:r>
          </w:p>
        </w:tc>
        <w:tc>
          <w:tcPr>
            <w:tcW w:w="0" w:type="auto"/>
            <w:tcBorders>
              <w:right w:val="single" w:sz="4" w:space="0" w:color="auto"/>
            </w:tcBorders>
          </w:tcPr>
          <w:p w14:paraId="6B233B5E" w14:textId="77777777" w:rsidR="008B4D60" w:rsidRPr="0022554A" w:rsidRDefault="008B4D60" w:rsidP="008B4D60">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41A96F8C" w14:textId="098F7B25" w:rsidR="008B4D60" w:rsidRPr="0022554A" w:rsidRDefault="008B4D60" w:rsidP="008B4D60">
            <w:pPr>
              <w:tabs>
                <w:tab w:val="left" w:pos="5400"/>
              </w:tabs>
              <w:rPr>
                <w:sz w:val="20"/>
              </w:rPr>
            </w:pPr>
            <w:r>
              <w:rPr>
                <w:sz w:val="20"/>
              </w:rPr>
              <w:t xml:space="preserve">Introduction, paragraph 3 </w:t>
            </w:r>
          </w:p>
        </w:tc>
      </w:tr>
      <w:tr w:rsidR="008B4D60" w:rsidRPr="0022554A" w14:paraId="572F0AD9" w14:textId="77777777" w:rsidTr="00F968F7">
        <w:tc>
          <w:tcPr>
            <w:tcW w:w="0" w:type="auto"/>
          </w:tcPr>
          <w:p w14:paraId="717D545A" w14:textId="77777777" w:rsidR="008B4D60" w:rsidRPr="0022554A" w:rsidRDefault="008B4D60" w:rsidP="008B4D60">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7019FB5A" w14:textId="77777777" w:rsidR="008B4D60" w:rsidRPr="0022554A" w:rsidRDefault="008B4D60" w:rsidP="008B4D60">
            <w:pPr>
              <w:tabs>
                <w:tab w:val="left" w:pos="5400"/>
              </w:tabs>
              <w:jc w:val="center"/>
              <w:rPr>
                <w:sz w:val="20"/>
              </w:rPr>
            </w:pPr>
            <w:r w:rsidRPr="0022554A">
              <w:rPr>
                <w:sz w:val="20"/>
              </w:rPr>
              <w:t>3</w:t>
            </w:r>
          </w:p>
        </w:tc>
        <w:tc>
          <w:tcPr>
            <w:tcW w:w="0" w:type="auto"/>
            <w:tcBorders>
              <w:right w:val="single" w:sz="4" w:space="0" w:color="auto"/>
            </w:tcBorders>
          </w:tcPr>
          <w:p w14:paraId="2FCC92DF" w14:textId="77777777" w:rsidR="008B4D60" w:rsidRPr="0022554A" w:rsidRDefault="008B4D60" w:rsidP="008B4D60">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14:paraId="562B537F" w14:textId="5B7536CA" w:rsidR="008B4D60" w:rsidRPr="0022554A" w:rsidRDefault="008B4D60" w:rsidP="008B4D60">
            <w:pPr>
              <w:tabs>
                <w:tab w:val="left" w:pos="5400"/>
              </w:tabs>
              <w:rPr>
                <w:sz w:val="20"/>
              </w:rPr>
            </w:pPr>
            <w:r>
              <w:rPr>
                <w:sz w:val="20"/>
              </w:rPr>
              <w:t>Introduction, paragraph 3</w:t>
            </w:r>
          </w:p>
        </w:tc>
      </w:tr>
      <w:tr w:rsidR="00F968F7" w:rsidRPr="0022554A" w14:paraId="5CC9826E" w14:textId="77777777" w:rsidTr="0075581F">
        <w:tc>
          <w:tcPr>
            <w:tcW w:w="0" w:type="auto"/>
            <w:gridSpan w:val="4"/>
          </w:tcPr>
          <w:p w14:paraId="42C00D42" w14:textId="01C3C19E" w:rsidR="00F968F7" w:rsidRPr="0022554A" w:rsidRDefault="00F968F7"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8B4D60" w:rsidRPr="0022554A" w14:paraId="601BD2DC" w14:textId="77777777" w:rsidTr="00F968F7">
        <w:tc>
          <w:tcPr>
            <w:tcW w:w="0" w:type="auto"/>
          </w:tcPr>
          <w:p w14:paraId="399D8D8E" w14:textId="77777777" w:rsidR="008B4D60" w:rsidRPr="0022554A" w:rsidRDefault="008B4D60" w:rsidP="008B4D60">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6C4C4106" w14:textId="77777777" w:rsidR="008B4D60" w:rsidRPr="0022554A" w:rsidRDefault="008B4D60" w:rsidP="008B4D60">
            <w:pPr>
              <w:tabs>
                <w:tab w:val="left" w:pos="5400"/>
              </w:tabs>
              <w:jc w:val="center"/>
              <w:rPr>
                <w:sz w:val="20"/>
              </w:rPr>
            </w:pPr>
            <w:r w:rsidRPr="0022554A">
              <w:rPr>
                <w:sz w:val="20"/>
              </w:rPr>
              <w:t>4</w:t>
            </w:r>
          </w:p>
        </w:tc>
        <w:tc>
          <w:tcPr>
            <w:tcW w:w="0" w:type="auto"/>
            <w:tcBorders>
              <w:right w:val="single" w:sz="4" w:space="0" w:color="auto"/>
            </w:tcBorders>
          </w:tcPr>
          <w:p w14:paraId="4467651C" w14:textId="77777777" w:rsidR="008B4D60" w:rsidRPr="0022554A" w:rsidRDefault="008B4D60" w:rsidP="008B4D60">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14:paraId="4D9ECC98" w14:textId="19BF54F7" w:rsidR="008B4D60" w:rsidRPr="0022554A" w:rsidRDefault="008B4D60" w:rsidP="008B4D60">
            <w:pPr>
              <w:tabs>
                <w:tab w:val="left" w:pos="5400"/>
              </w:tabs>
              <w:rPr>
                <w:sz w:val="20"/>
              </w:rPr>
            </w:pPr>
            <w:r>
              <w:rPr>
                <w:sz w:val="20"/>
              </w:rPr>
              <w:t>Methods, paragraph 1</w:t>
            </w:r>
          </w:p>
        </w:tc>
      </w:tr>
      <w:tr w:rsidR="008B4D60" w:rsidRPr="0022554A" w14:paraId="5153ED89" w14:textId="77777777" w:rsidTr="00F968F7">
        <w:tc>
          <w:tcPr>
            <w:tcW w:w="0" w:type="auto"/>
          </w:tcPr>
          <w:p w14:paraId="2675347D" w14:textId="77777777" w:rsidR="008B4D60" w:rsidRPr="0022554A" w:rsidRDefault="008B4D60" w:rsidP="008B4D60">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796B6ED5" w14:textId="77777777" w:rsidR="008B4D60" w:rsidRPr="0022554A" w:rsidRDefault="008B4D60" w:rsidP="008B4D60">
            <w:pPr>
              <w:tabs>
                <w:tab w:val="left" w:pos="5400"/>
              </w:tabs>
              <w:jc w:val="center"/>
              <w:rPr>
                <w:sz w:val="20"/>
              </w:rPr>
            </w:pPr>
            <w:r w:rsidRPr="0022554A">
              <w:rPr>
                <w:sz w:val="20"/>
              </w:rPr>
              <w:t>5</w:t>
            </w:r>
          </w:p>
        </w:tc>
        <w:tc>
          <w:tcPr>
            <w:tcW w:w="0" w:type="auto"/>
            <w:tcBorders>
              <w:right w:val="single" w:sz="4" w:space="0" w:color="auto"/>
            </w:tcBorders>
          </w:tcPr>
          <w:p w14:paraId="2987CFE6" w14:textId="77777777" w:rsidR="008B4D60" w:rsidRPr="0022554A" w:rsidRDefault="008B4D60" w:rsidP="008B4D60">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14:paraId="5A3F8165" w14:textId="02712795" w:rsidR="008B4D60" w:rsidRPr="0022554A" w:rsidRDefault="008B4D60" w:rsidP="008B4D60">
            <w:pPr>
              <w:tabs>
                <w:tab w:val="left" w:pos="5400"/>
              </w:tabs>
              <w:rPr>
                <w:sz w:val="20"/>
              </w:rPr>
            </w:pPr>
            <w:r>
              <w:rPr>
                <w:sz w:val="20"/>
              </w:rPr>
              <w:t>Methods, paragraph 1</w:t>
            </w:r>
          </w:p>
        </w:tc>
      </w:tr>
      <w:bookmarkEnd w:id="25"/>
      <w:bookmarkEnd w:id="26"/>
      <w:tr w:rsidR="008B4D60" w:rsidRPr="0022554A" w14:paraId="20D3FFEF" w14:textId="77777777" w:rsidTr="00F968F7">
        <w:tc>
          <w:tcPr>
            <w:tcW w:w="0" w:type="auto"/>
          </w:tcPr>
          <w:p w14:paraId="1BCC858D" w14:textId="77777777" w:rsidR="008B4D60" w:rsidRPr="0022554A" w:rsidRDefault="008B4D60" w:rsidP="008B4D60">
            <w:pPr>
              <w:tabs>
                <w:tab w:val="left" w:pos="5400"/>
              </w:tabs>
              <w:rPr>
                <w:bCs/>
                <w:sz w:val="20"/>
              </w:rPr>
            </w:pPr>
            <w:r w:rsidRPr="0022554A">
              <w:rPr>
                <w:bCs/>
                <w:sz w:val="20"/>
              </w:rPr>
              <w:t>Participants</w:t>
            </w:r>
          </w:p>
        </w:tc>
        <w:tc>
          <w:tcPr>
            <w:tcW w:w="0" w:type="auto"/>
          </w:tcPr>
          <w:p w14:paraId="102C3177" w14:textId="77777777" w:rsidR="008B4D60" w:rsidRPr="0022554A" w:rsidRDefault="008B4D60" w:rsidP="008B4D60">
            <w:pPr>
              <w:tabs>
                <w:tab w:val="left" w:pos="5400"/>
              </w:tabs>
              <w:jc w:val="center"/>
              <w:rPr>
                <w:sz w:val="20"/>
              </w:rPr>
            </w:pPr>
            <w:r w:rsidRPr="0022554A">
              <w:rPr>
                <w:sz w:val="20"/>
              </w:rPr>
              <w:t>6</w:t>
            </w:r>
          </w:p>
        </w:tc>
        <w:tc>
          <w:tcPr>
            <w:tcW w:w="0" w:type="auto"/>
            <w:tcBorders>
              <w:right w:val="single" w:sz="4" w:space="0" w:color="auto"/>
            </w:tcBorders>
          </w:tcPr>
          <w:p w14:paraId="0A726166" w14:textId="77777777" w:rsidR="008B4D60" w:rsidRPr="0022554A" w:rsidRDefault="008B4D60" w:rsidP="008B4D60">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610F3E40" w14:textId="39CEDBDC" w:rsidR="008B4D60" w:rsidRPr="0022554A" w:rsidRDefault="008B4D60" w:rsidP="008B4D60">
            <w:pPr>
              <w:tabs>
                <w:tab w:val="left" w:pos="5400"/>
              </w:tabs>
              <w:rPr>
                <w:sz w:val="20"/>
              </w:rPr>
            </w:pPr>
            <w:r>
              <w:rPr>
                <w:sz w:val="20"/>
              </w:rPr>
              <w:t>Methods, paragraph 1</w:t>
            </w:r>
          </w:p>
        </w:tc>
      </w:tr>
      <w:tr w:rsidR="008B4D60" w:rsidRPr="0022554A" w14:paraId="14DC98B9" w14:textId="77777777" w:rsidTr="00F968F7">
        <w:tc>
          <w:tcPr>
            <w:tcW w:w="0" w:type="auto"/>
          </w:tcPr>
          <w:p w14:paraId="000E2FC5" w14:textId="77777777" w:rsidR="008B4D60" w:rsidRPr="0022554A" w:rsidRDefault="008B4D60" w:rsidP="008B4D60">
            <w:pPr>
              <w:tabs>
                <w:tab w:val="left" w:pos="5400"/>
              </w:tabs>
              <w:rPr>
                <w:bCs/>
                <w:sz w:val="20"/>
              </w:rPr>
            </w:pPr>
            <w:bookmarkStart w:id="27" w:name="bold16" w:colFirst="0" w:colLast="0"/>
            <w:bookmarkStart w:id="28" w:name="italic17" w:colFirst="0" w:colLast="0"/>
            <w:r w:rsidRPr="0022554A">
              <w:rPr>
                <w:bCs/>
                <w:sz w:val="20"/>
              </w:rPr>
              <w:t>Variables</w:t>
            </w:r>
          </w:p>
        </w:tc>
        <w:tc>
          <w:tcPr>
            <w:tcW w:w="0" w:type="auto"/>
          </w:tcPr>
          <w:p w14:paraId="3B4B5808" w14:textId="77777777" w:rsidR="008B4D60" w:rsidRPr="0022554A" w:rsidRDefault="008B4D60" w:rsidP="008B4D60">
            <w:pPr>
              <w:tabs>
                <w:tab w:val="left" w:pos="5400"/>
              </w:tabs>
              <w:jc w:val="center"/>
              <w:rPr>
                <w:sz w:val="20"/>
              </w:rPr>
            </w:pPr>
            <w:r w:rsidRPr="0022554A">
              <w:rPr>
                <w:sz w:val="20"/>
              </w:rPr>
              <w:t>7</w:t>
            </w:r>
          </w:p>
        </w:tc>
        <w:tc>
          <w:tcPr>
            <w:tcW w:w="0" w:type="auto"/>
            <w:tcBorders>
              <w:right w:val="single" w:sz="4" w:space="0" w:color="auto"/>
            </w:tcBorders>
          </w:tcPr>
          <w:p w14:paraId="547CFEFA" w14:textId="77777777" w:rsidR="008B4D60" w:rsidRPr="0022554A" w:rsidRDefault="008B4D60" w:rsidP="008B4D60">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14:paraId="5A4E9CA7" w14:textId="474A11E2" w:rsidR="008B4D60" w:rsidRPr="0022554A" w:rsidRDefault="008B4D60" w:rsidP="008B4D60">
            <w:pPr>
              <w:tabs>
                <w:tab w:val="left" w:pos="5400"/>
              </w:tabs>
              <w:rPr>
                <w:sz w:val="20"/>
              </w:rPr>
            </w:pPr>
            <w:r>
              <w:rPr>
                <w:sz w:val="20"/>
              </w:rPr>
              <w:t>Methods, paragraph 2, Table 2</w:t>
            </w:r>
          </w:p>
        </w:tc>
      </w:tr>
      <w:tr w:rsidR="008B4D60" w:rsidRPr="0022554A" w14:paraId="40321B1B" w14:textId="77777777" w:rsidTr="00F968F7">
        <w:trPr>
          <w:trHeight w:val="294"/>
        </w:trPr>
        <w:tc>
          <w:tcPr>
            <w:tcW w:w="0" w:type="auto"/>
          </w:tcPr>
          <w:p w14:paraId="6DDBB3D1" w14:textId="6D69E3DD" w:rsidR="008B4D60" w:rsidRPr="0022554A" w:rsidRDefault="008B4D60" w:rsidP="008B4D60">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0" w:type="auto"/>
          </w:tcPr>
          <w:p w14:paraId="208E4520" w14:textId="77777777" w:rsidR="008B4D60" w:rsidRPr="0022554A" w:rsidRDefault="008B4D60" w:rsidP="008B4D60">
            <w:pPr>
              <w:tabs>
                <w:tab w:val="left" w:pos="5400"/>
              </w:tabs>
              <w:jc w:val="center"/>
              <w:rPr>
                <w:sz w:val="20"/>
              </w:rPr>
            </w:pPr>
            <w:r w:rsidRPr="0022554A">
              <w:rPr>
                <w:sz w:val="20"/>
              </w:rPr>
              <w:t>8</w:t>
            </w:r>
            <w:bookmarkStart w:id="33" w:name="bold19"/>
            <w:r w:rsidRPr="0022554A">
              <w:rPr>
                <w:bCs/>
                <w:sz w:val="20"/>
              </w:rPr>
              <w:t>*</w:t>
            </w:r>
            <w:bookmarkEnd w:id="33"/>
          </w:p>
        </w:tc>
        <w:tc>
          <w:tcPr>
            <w:tcW w:w="0" w:type="auto"/>
            <w:tcBorders>
              <w:right w:val="single" w:sz="4" w:space="0" w:color="auto"/>
            </w:tcBorders>
          </w:tcPr>
          <w:p w14:paraId="0CFE9B32" w14:textId="77777777" w:rsidR="008B4D60" w:rsidRPr="0022554A" w:rsidRDefault="008B4D60" w:rsidP="008B4D60">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1E9473FB" w14:textId="41AB9BDA" w:rsidR="008B4D60" w:rsidRPr="0047331B" w:rsidRDefault="008B4D60" w:rsidP="008B4D60">
            <w:pPr>
              <w:tabs>
                <w:tab w:val="left" w:pos="5400"/>
              </w:tabs>
              <w:rPr>
                <w:iCs/>
                <w:sz w:val="20"/>
              </w:rPr>
            </w:pPr>
            <w:r>
              <w:rPr>
                <w:sz w:val="20"/>
              </w:rPr>
              <w:t>Methods, paragraph 1, 2, 3</w:t>
            </w:r>
          </w:p>
        </w:tc>
      </w:tr>
      <w:tr w:rsidR="008B4D60" w:rsidRPr="0022554A" w14:paraId="155FBDE7" w14:textId="77777777" w:rsidTr="00F968F7">
        <w:tc>
          <w:tcPr>
            <w:tcW w:w="0" w:type="auto"/>
          </w:tcPr>
          <w:p w14:paraId="5D46BA1E" w14:textId="77777777" w:rsidR="008B4D60" w:rsidRPr="0022554A" w:rsidRDefault="008B4D60" w:rsidP="008B4D60">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0" w:type="auto"/>
          </w:tcPr>
          <w:p w14:paraId="7D5EEC88" w14:textId="77777777" w:rsidR="008B4D60" w:rsidRPr="0022554A" w:rsidRDefault="008B4D60" w:rsidP="008B4D60">
            <w:pPr>
              <w:tabs>
                <w:tab w:val="left" w:pos="5400"/>
              </w:tabs>
              <w:jc w:val="center"/>
              <w:rPr>
                <w:sz w:val="20"/>
              </w:rPr>
            </w:pPr>
            <w:r w:rsidRPr="0022554A">
              <w:rPr>
                <w:sz w:val="20"/>
              </w:rPr>
              <w:t>9</w:t>
            </w:r>
          </w:p>
        </w:tc>
        <w:tc>
          <w:tcPr>
            <w:tcW w:w="0" w:type="auto"/>
            <w:tcBorders>
              <w:right w:val="single" w:sz="4" w:space="0" w:color="auto"/>
            </w:tcBorders>
          </w:tcPr>
          <w:p w14:paraId="3DA5233B" w14:textId="77777777" w:rsidR="008B4D60" w:rsidRPr="0022554A" w:rsidRDefault="008B4D60" w:rsidP="008B4D60">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14:paraId="034551CC" w14:textId="21BDB7BD" w:rsidR="008B4D60" w:rsidRPr="0022554A" w:rsidRDefault="008B4D60" w:rsidP="008B4D60">
            <w:pPr>
              <w:tabs>
                <w:tab w:val="left" w:pos="5400"/>
              </w:tabs>
              <w:rPr>
                <w:color w:val="000000"/>
                <w:sz w:val="20"/>
              </w:rPr>
            </w:pPr>
            <w:r>
              <w:rPr>
                <w:color w:val="000000"/>
                <w:sz w:val="20"/>
              </w:rPr>
              <w:t>N/A</w:t>
            </w:r>
          </w:p>
        </w:tc>
      </w:tr>
      <w:tr w:rsidR="008B4D60" w:rsidRPr="0022554A" w14:paraId="0EE9D6BD" w14:textId="77777777" w:rsidTr="00F968F7">
        <w:tc>
          <w:tcPr>
            <w:tcW w:w="0" w:type="auto"/>
          </w:tcPr>
          <w:p w14:paraId="150502A4" w14:textId="77777777" w:rsidR="008B4D60" w:rsidRPr="0022554A" w:rsidRDefault="008B4D60" w:rsidP="008B4D60">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0" w:type="auto"/>
          </w:tcPr>
          <w:p w14:paraId="7C430F23" w14:textId="77777777" w:rsidR="008B4D60" w:rsidRPr="0022554A" w:rsidRDefault="008B4D60" w:rsidP="008B4D60">
            <w:pPr>
              <w:tabs>
                <w:tab w:val="left" w:pos="5400"/>
              </w:tabs>
              <w:jc w:val="center"/>
              <w:rPr>
                <w:sz w:val="20"/>
              </w:rPr>
            </w:pPr>
            <w:r w:rsidRPr="0022554A">
              <w:rPr>
                <w:sz w:val="20"/>
              </w:rPr>
              <w:t>10</w:t>
            </w:r>
          </w:p>
        </w:tc>
        <w:tc>
          <w:tcPr>
            <w:tcW w:w="0" w:type="auto"/>
            <w:tcBorders>
              <w:right w:val="single" w:sz="4" w:space="0" w:color="auto"/>
            </w:tcBorders>
          </w:tcPr>
          <w:p w14:paraId="33A8AF72" w14:textId="77777777" w:rsidR="008B4D60" w:rsidRPr="0022554A" w:rsidRDefault="008B4D60" w:rsidP="008B4D60">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14:paraId="695F7A75" w14:textId="28A1D9BB" w:rsidR="008B4D60" w:rsidRPr="0022554A" w:rsidRDefault="008B4D60" w:rsidP="008B4D60">
            <w:pPr>
              <w:tabs>
                <w:tab w:val="left" w:pos="5400"/>
              </w:tabs>
              <w:rPr>
                <w:sz w:val="20"/>
              </w:rPr>
            </w:pPr>
            <w:r>
              <w:rPr>
                <w:sz w:val="20"/>
              </w:rPr>
              <w:t>Methods, paragraph 1</w:t>
            </w:r>
          </w:p>
        </w:tc>
      </w:tr>
      <w:tr w:rsidR="008B4D60" w:rsidRPr="0022554A" w14:paraId="07528089" w14:textId="77777777" w:rsidTr="00F968F7">
        <w:tc>
          <w:tcPr>
            <w:tcW w:w="0" w:type="auto"/>
          </w:tcPr>
          <w:p w14:paraId="3BDFCA48" w14:textId="0470E6F1" w:rsidR="008B4D60" w:rsidRPr="0022554A" w:rsidRDefault="008B4D60" w:rsidP="008B4D60">
            <w:pPr>
              <w:tabs>
                <w:tab w:val="left" w:pos="5400"/>
              </w:tabs>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0" w:type="auto"/>
          </w:tcPr>
          <w:p w14:paraId="135FF9C9" w14:textId="77777777" w:rsidR="008B4D60" w:rsidRPr="0022554A" w:rsidRDefault="008B4D60" w:rsidP="008B4D60">
            <w:pPr>
              <w:tabs>
                <w:tab w:val="left" w:pos="5400"/>
              </w:tabs>
              <w:jc w:val="center"/>
              <w:rPr>
                <w:sz w:val="20"/>
              </w:rPr>
            </w:pPr>
            <w:r w:rsidRPr="0022554A">
              <w:rPr>
                <w:sz w:val="20"/>
              </w:rPr>
              <w:t>11</w:t>
            </w:r>
          </w:p>
        </w:tc>
        <w:tc>
          <w:tcPr>
            <w:tcW w:w="0" w:type="auto"/>
            <w:tcBorders>
              <w:right w:val="single" w:sz="4" w:space="0" w:color="auto"/>
            </w:tcBorders>
          </w:tcPr>
          <w:p w14:paraId="63FE4E63" w14:textId="77777777" w:rsidR="008B4D60" w:rsidRPr="0022554A" w:rsidRDefault="008B4D60" w:rsidP="008B4D60">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14:paraId="2E1218E9" w14:textId="5371B81A" w:rsidR="008B4D60" w:rsidRPr="0022554A" w:rsidRDefault="008B4D60" w:rsidP="008B4D60">
            <w:pPr>
              <w:tabs>
                <w:tab w:val="left" w:pos="5400"/>
              </w:tabs>
              <w:rPr>
                <w:sz w:val="20"/>
              </w:rPr>
            </w:pPr>
            <w:r>
              <w:rPr>
                <w:sz w:val="20"/>
              </w:rPr>
              <w:t>Methods, paragraph 2, 3</w:t>
            </w:r>
          </w:p>
        </w:tc>
      </w:tr>
      <w:tr w:rsidR="008B4D60" w:rsidRPr="0022554A" w14:paraId="19707D11" w14:textId="77777777" w:rsidTr="00F968F7">
        <w:tc>
          <w:tcPr>
            <w:tcW w:w="0" w:type="auto"/>
            <w:vMerge w:val="restart"/>
          </w:tcPr>
          <w:p w14:paraId="0319ABBD" w14:textId="07550256" w:rsidR="008B4D60" w:rsidRPr="0022554A" w:rsidRDefault="008B4D60" w:rsidP="008B4D60">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0" w:type="auto"/>
            <w:vMerge w:val="restart"/>
          </w:tcPr>
          <w:p w14:paraId="0ADE2C55" w14:textId="77777777" w:rsidR="008B4D60" w:rsidRPr="0022554A" w:rsidRDefault="008B4D60" w:rsidP="008B4D60">
            <w:pPr>
              <w:tabs>
                <w:tab w:val="left" w:pos="5400"/>
              </w:tabs>
              <w:jc w:val="center"/>
              <w:rPr>
                <w:sz w:val="20"/>
              </w:rPr>
            </w:pPr>
            <w:r w:rsidRPr="0022554A">
              <w:rPr>
                <w:sz w:val="20"/>
              </w:rPr>
              <w:t>12</w:t>
            </w:r>
          </w:p>
        </w:tc>
        <w:tc>
          <w:tcPr>
            <w:tcW w:w="0" w:type="auto"/>
            <w:tcBorders>
              <w:right w:val="single" w:sz="4" w:space="0" w:color="auto"/>
            </w:tcBorders>
          </w:tcPr>
          <w:p w14:paraId="085774FA" w14:textId="77777777" w:rsidR="008B4D60" w:rsidRPr="0022554A" w:rsidRDefault="008B4D60" w:rsidP="008B4D60">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1E2F58DB" w14:textId="3190F030" w:rsidR="008B4D60" w:rsidRPr="0022554A" w:rsidRDefault="008B4D60" w:rsidP="008B4D60">
            <w:pPr>
              <w:tabs>
                <w:tab w:val="left" w:pos="5400"/>
              </w:tabs>
              <w:rPr>
                <w:sz w:val="20"/>
              </w:rPr>
            </w:pPr>
            <w:r>
              <w:rPr>
                <w:sz w:val="20"/>
              </w:rPr>
              <w:t>Methods, paragraph 3</w:t>
            </w:r>
          </w:p>
        </w:tc>
      </w:tr>
      <w:tr w:rsidR="008B4D60" w:rsidRPr="0022554A" w14:paraId="276DA638" w14:textId="77777777" w:rsidTr="00F968F7">
        <w:tc>
          <w:tcPr>
            <w:tcW w:w="0" w:type="auto"/>
            <w:vMerge/>
          </w:tcPr>
          <w:p w14:paraId="0B7AA7E8" w14:textId="77777777" w:rsidR="008B4D60" w:rsidRPr="0022554A" w:rsidRDefault="008B4D60" w:rsidP="008B4D60">
            <w:pPr>
              <w:tabs>
                <w:tab w:val="left" w:pos="5400"/>
              </w:tabs>
              <w:rPr>
                <w:bCs/>
                <w:sz w:val="20"/>
              </w:rPr>
            </w:pPr>
            <w:bookmarkStart w:id="44" w:name="bold24" w:colFirst="0" w:colLast="0"/>
            <w:bookmarkStart w:id="45" w:name="italic26" w:colFirst="0" w:colLast="0"/>
          </w:p>
        </w:tc>
        <w:tc>
          <w:tcPr>
            <w:tcW w:w="0" w:type="auto"/>
            <w:vMerge/>
          </w:tcPr>
          <w:p w14:paraId="7B8821A1" w14:textId="77777777" w:rsidR="008B4D60" w:rsidRPr="0022554A" w:rsidRDefault="008B4D60" w:rsidP="008B4D60">
            <w:pPr>
              <w:tabs>
                <w:tab w:val="left" w:pos="5400"/>
              </w:tabs>
              <w:jc w:val="center"/>
              <w:rPr>
                <w:sz w:val="20"/>
              </w:rPr>
            </w:pPr>
          </w:p>
        </w:tc>
        <w:tc>
          <w:tcPr>
            <w:tcW w:w="0" w:type="auto"/>
            <w:tcBorders>
              <w:right w:val="single" w:sz="4" w:space="0" w:color="auto"/>
            </w:tcBorders>
          </w:tcPr>
          <w:p w14:paraId="307F2017" w14:textId="77777777" w:rsidR="008B4D60" w:rsidRPr="0022554A" w:rsidRDefault="008B4D60" w:rsidP="008B4D60">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14:paraId="17FEDCE9" w14:textId="64B93E96" w:rsidR="008B4D60" w:rsidRPr="0022554A" w:rsidRDefault="008B4D60" w:rsidP="008B4D60">
            <w:pPr>
              <w:tabs>
                <w:tab w:val="left" w:pos="5400"/>
              </w:tabs>
              <w:rPr>
                <w:sz w:val="20"/>
              </w:rPr>
            </w:pPr>
            <w:r>
              <w:rPr>
                <w:sz w:val="20"/>
              </w:rPr>
              <w:t>Methods, paragraph 3</w:t>
            </w:r>
          </w:p>
        </w:tc>
      </w:tr>
      <w:tr w:rsidR="008B4D60" w:rsidRPr="0022554A" w14:paraId="1D11999F" w14:textId="77777777" w:rsidTr="00F968F7">
        <w:tc>
          <w:tcPr>
            <w:tcW w:w="0" w:type="auto"/>
            <w:vMerge/>
          </w:tcPr>
          <w:p w14:paraId="348E8870" w14:textId="77777777" w:rsidR="008B4D60" w:rsidRPr="0022554A" w:rsidRDefault="008B4D60" w:rsidP="008B4D60">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5B14FF36" w14:textId="77777777" w:rsidR="008B4D60" w:rsidRPr="0022554A" w:rsidRDefault="008B4D60" w:rsidP="008B4D60">
            <w:pPr>
              <w:tabs>
                <w:tab w:val="left" w:pos="5400"/>
              </w:tabs>
              <w:jc w:val="center"/>
              <w:rPr>
                <w:sz w:val="20"/>
              </w:rPr>
            </w:pPr>
          </w:p>
        </w:tc>
        <w:tc>
          <w:tcPr>
            <w:tcW w:w="0" w:type="auto"/>
            <w:tcBorders>
              <w:right w:val="single" w:sz="4" w:space="0" w:color="auto"/>
            </w:tcBorders>
          </w:tcPr>
          <w:p w14:paraId="4F8FA23E" w14:textId="77777777" w:rsidR="008B4D60" w:rsidRPr="0022554A" w:rsidRDefault="008B4D60" w:rsidP="008B4D60">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14:paraId="54500661" w14:textId="53929307" w:rsidR="008B4D60" w:rsidRPr="0022554A" w:rsidRDefault="008B4D60" w:rsidP="008B4D60">
            <w:pPr>
              <w:tabs>
                <w:tab w:val="left" w:pos="5400"/>
              </w:tabs>
              <w:rPr>
                <w:sz w:val="20"/>
              </w:rPr>
            </w:pPr>
            <w:r>
              <w:rPr>
                <w:sz w:val="20"/>
              </w:rPr>
              <w:t>Methods, paragraph 3</w:t>
            </w:r>
          </w:p>
        </w:tc>
      </w:tr>
      <w:tr w:rsidR="008B4D60" w:rsidRPr="0022554A" w14:paraId="1A4BBFDB" w14:textId="77777777" w:rsidTr="00F968F7">
        <w:tc>
          <w:tcPr>
            <w:tcW w:w="0" w:type="auto"/>
            <w:vMerge/>
          </w:tcPr>
          <w:p w14:paraId="473F2F32" w14:textId="77777777" w:rsidR="008B4D60" w:rsidRPr="0022554A" w:rsidRDefault="008B4D60" w:rsidP="008B4D60">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5E02611C" w14:textId="77777777" w:rsidR="008B4D60" w:rsidRPr="0022554A" w:rsidRDefault="008B4D60" w:rsidP="008B4D60">
            <w:pPr>
              <w:tabs>
                <w:tab w:val="left" w:pos="5400"/>
              </w:tabs>
              <w:jc w:val="center"/>
              <w:rPr>
                <w:sz w:val="20"/>
              </w:rPr>
            </w:pPr>
          </w:p>
        </w:tc>
        <w:tc>
          <w:tcPr>
            <w:tcW w:w="0" w:type="auto"/>
            <w:tcBorders>
              <w:right w:val="single" w:sz="4" w:space="0" w:color="auto"/>
            </w:tcBorders>
          </w:tcPr>
          <w:p w14:paraId="1C54681C" w14:textId="77777777" w:rsidR="008B4D60" w:rsidRPr="0022554A" w:rsidRDefault="008B4D60" w:rsidP="008B4D60">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6D2AB417" w14:textId="01EB2EA3" w:rsidR="008B4D60" w:rsidRPr="0022554A" w:rsidRDefault="008B4D60" w:rsidP="008B4D60">
            <w:pPr>
              <w:tabs>
                <w:tab w:val="left" w:pos="5400"/>
              </w:tabs>
              <w:rPr>
                <w:sz w:val="20"/>
              </w:rPr>
            </w:pPr>
            <w:r>
              <w:rPr>
                <w:sz w:val="20"/>
              </w:rPr>
              <w:t>N/A</w:t>
            </w:r>
          </w:p>
        </w:tc>
      </w:tr>
      <w:tr w:rsidR="008B4D60" w:rsidRPr="0022554A" w14:paraId="5A4B6ABD" w14:textId="77777777" w:rsidTr="00F968F7">
        <w:tc>
          <w:tcPr>
            <w:tcW w:w="0" w:type="auto"/>
            <w:vMerge/>
          </w:tcPr>
          <w:p w14:paraId="670C04CE" w14:textId="77777777" w:rsidR="008B4D60" w:rsidRPr="0022554A" w:rsidRDefault="008B4D60" w:rsidP="008B4D60">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53214148" w14:textId="77777777" w:rsidR="008B4D60" w:rsidRPr="0022554A" w:rsidRDefault="008B4D60" w:rsidP="008B4D60">
            <w:pPr>
              <w:tabs>
                <w:tab w:val="left" w:pos="5400"/>
              </w:tabs>
              <w:jc w:val="center"/>
              <w:rPr>
                <w:sz w:val="20"/>
              </w:rPr>
            </w:pPr>
          </w:p>
        </w:tc>
        <w:tc>
          <w:tcPr>
            <w:tcW w:w="0" w:type="auto"/>
            <w:tcBorders>
              <w:right w:val="single" w:sz="4" w:space="0" w:color="auto"/>
            </w:tcBorders>
          </w:tcPr>
          <w:p w14:paraId="3DD236F5" w14:textId="77777777" w:rsidR="008B4D60" w:rsidRPr="0022554A" w:rsidRDefault="008B4D60" w:rsidP="008B4D60">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single" w:sz="4" w:space="0" w:color="auto"/>
            </w:tcBorders>
          </w:tcPr>
          <w:p w14:paraId="449319A3" w14:textId="70D880C3" w:rsidR="008B4D60" w:rsidRPr="0022554A" w:rsidRDefault="008B4D60" w:rsidP="008B4D60">
            <w:pPr>
              <w:tabs>
                <w:tab w:val="left" w:pos="5400"/>
              </w:tabs>
              <w:rPr>
                <w:sz w:val="20"/>
              </w:rPr>
            </w:pPr>
            <w:r>
              <w:rPr>
                <w:sz w:val="20"/>
              </w:rPr>
              <w:t>N/A</w:t>
            </w:r>
          </w:p>
        </w:tc>
      </w:tr>
      <w:tr w:rsidR="00F968F7" w:rsidRPr="0022554A" w14:paraId="40513C70" w14:textId="77777777" w:rsidTr="00423FBD">
        <w:tc>
          <w:tcPr>
            <w:tcW w:w="0" w:type="auto"/>
            <w:gridSpan w:val="4"/>
          </w:tcPr>
          <w:p w14:paraId="1A4ABD6A" w14:textId="4AE1298A" w:rsidR="00F968F7" w:rsidRPr="0022554A" w:rsidRDefault="00F968F7" w:rsidP="0022554A">
            <w:pPr>
              <w:pStyle w:val="TableSubHead"/>
              <w:tabs>
                <w:tab w:val="left" w:pos="5400"/>
              </w:tabs>
              <w:rPr>
                <w:sz w:val="20"/>
              </w:rPr>
            </w:pPr>
            <w:bookmarkStart w:id="52" w:name="bold28"/>
            <w:bookmarkStart w:id="53" w:name="italic30"/>
            <w:bookmarkEnd w:id="50"/>
            <w:bookmarkEnd w:id="51"/>
            <w:r w:rsidRPr="0022554A">
              <w:rPr>
                <w:sz w:val="20"/>
              </w:rPr>
              <w:t>Results</w:t>
            </w:r>
            <w:bookmarkEnd w:id="52"/>
            <w:bookmarkEnd w:id="53"/>
          </w:p>
        </w:tc>
      </w:tr>
      <w:tr w:rsidR="008B4D60" w:rsidRPr="0022554A" w14:paraId="4087717C" w14:textId="77777777" w:rsidTr="00F968F7">
        <w:tc>
          <w:tcPr>
            <w:tcW w:w="0" w:type="auto"/>
            <w:vMerge w:val="restart"/>
          </w:tcPr>
          <w:p w14:paraId="07885F9F" w14:textId="77777777" w:rsidR="008B4D60" w:rsidRPr="0022554A" w:rsidRDefault="008B4D60" w:rsidP="008B4D60">
            <w:pPr>
              <w:tabs>
                <w:tab w:val="left" w:pos="5400"/>
              </w:tabs>
              <w:rPr>
                <w:bCs/>
                <w:sz w:val="20"/>
              </w:rPr>
            </w:pPr>
            <w:bookmarkStart w:id="54" w:name="bold29"/>
            <w:bookmarkStart w:id="55" w:name="italic31"/>
            <w:r w:rsidRPr="0022554A">
              <w:rPr>
                <w:bCs/>
                <w:sz w:val="20"/>
              </w:rPr>
              <w:lastRenderedPageBreak/>
              <w:t>Participants</w:t>
            </w:r>
            <w:bookmarkEnd w:id="54"/>
            <w:bookmarkEnd w:id="55"/>
          </w:p>
        </w:tc>
        <w:tc>
          <w:tcPr>
            <w:tcW w:w="0" w:type="auto"/>
            <w:vMerge w:val="restart"/>
          </w:tcPr>
          <w:p w14:paraId="15C8FC74" w14:textId="77777777" w:rsidR="008B4D60" w:rsidRPr="0022554A" w:rsidRDefault="008B4D60" w:rsidP="008B4D60">
            <w:pPr>
              <w:tabs>
                <w:tab w:val="left" w:pos="5400"/>
              </w:tabs>
              <w:jc w:val="center"/>
              <w:rPr>
                <w:sz w:val="20"/>
              </w:rPr>
            </w:pPr>
            <w:r w:rsidRPr="0022554A">
              <w:rPr>
                <w:sz w:val="20"/>
              </w:rPr>
              <w:t>13</w:t>
            </w:r>
            <w:bookmarkStart w:id="56" w:name="bold30"/>
            <w:r w:rsidRPr="0022554A">
              <w:rPr>
                <w:bCs/>
                <w:sz w:val="20"/>
              </w:rPr>
              <w:t>*</w:t>
            </w:r>
            <w:bookmarkEnd w:id="56"/>
          </w:p>
        </w:tc>
        <w:tc>
          <w:tcPr>
            <w:tcW w:w="0" w:type="auto"/>
            <w:tcBorders>
              <w:right w:val="single" w:sz="4" w:space="0" w:color="auto"/>
            </w:tcBorders>
          </w:tcPr>
          <w:p w14:paraId="5A89AFA0" w14:textId="77777777" w:rsidR="008B4D60" w:rsidRPr="0022554A" w:rsidRDefault="008B4D60" w:rsidP="008B4D60">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0" w:type="auto"/>
            <w:tcBorders>
              <w:top w:val="single" w:sz="4" w:space="0" w:color="auto"/>
              <w:left w:val="single" w:sz="4" w:space="0" w:color="auto"/>
              <w:bottom w:val="single" w:sz="4" w:space="0" w:color="auto"/>
            </w:tcBorders>
          </w:tcPr>
          <w:p w14:paraId="6F2383E2" w14:textId="23A1FBDD" w:rsidR="008B4D60" w:rsidRDefault="008B4D60" w:rsidP="008B4D60">
            <w:pPr>
              <w:tabs>
                <w:tab w:val="left" w:pos="5400"/>
              </w:tabs>
              <w:rPr>
                <w:sz w:val="20"/>
              </w:rPr>
            </w:pPr>
            <w:r>
              <w:rPr>
                <w:sz w:val="20"/>
              </w:rPr>
              <w:t>Methods, paragraph 1</w:t>
            </w:r>
          </w:p>
        </w:tc>
      </w:tr>
      <w:tr w:rsidR="008B4D60" w:rsidRPr="0022554A" w14:paraId="318D81FD" w14:textId="77777777" w:rsidTr="00F968F7">
        <w:tc>
          <w:tcPr>
            <w:tcW w:w="0" w:type="auto"/>
            <w:vMerge/>
          </w:tcPr>
          <w:p w14:paraId="2719699B" w14:textId="77777777" w:rsidR="008B4D60" w:rsidRPr="0022554A" w:rsidRDefault="008B4D60" w:rsidP="008B4D60">
            <w:pPr>
              <w:tabs>
                <w:tab w:val="left" w:pos="5400"/>
              </w:tabs>
              <w:rPr>
                <w:bCs/>
                <w:sz w:val="20"/>
              </w:rPr>
            </w:pPr>
            <w:bookmarkStart w:id="57" w:name="bold31" w:colFirst="0" w:colLast="0"/>
            <w:bookmarkStart w:id="58" w:name="italic32" w:colFirst="0" w:colLast="0"/>
          </w:p>
        </w:tc>
        <w:tc>
          <w:tcPr>
            <w:tcW w:w="0" w:type="auto"/>
            <w:vMerge/>
          </w:tcPr>
          <w:p w14:paraId="14F524B2" w14:textId="77777777" w:rsidR="008B4D60" w:rsidRPr="0022554A" w:rsidRDefault="008B4D60" w:rsidP="008B4D60">
            <w:pPr>
              <w:tabs>
                <w:tab w:val="left" w:pos="5400"/>
              </w:tabs>
              <w:jc w:val="center"/>
              <w:rPr>
                <w:sz w:val="20"/>
              </w:rPr>
            </w:pPr>
          </w:p>
        </w:tc>
        <w:tc>
          <w:tcPr>
            <w:tcW w:w="0" w:type="auto"/>
            <w:tcBorders>
              <w:right w:val="single" w:sz="4" w:space="0" w:color="auto"/>
            </w:tcBorders>
          </w:tcPr>
          <w:p w14:paraId="1B8D7BC9" w14:textId="77777777" w:rsidR="008B4D60" w:rsidRPr="0022554A" w:rsidRDefault="008B4D60" w:rsidP="008B4D60">
            <w:pPr>
              <w:tabs>
                <w:tab w:val="left" w:pos="5400"/>
              </w:tabs>
              <w:rPr>
                <w:sz w:val="20"/>
              </w:rPr>
            </w:pPr>
            <w:r>
              <w:rPr>
                <w:sz w:val="20"/>
              </w:rPr>
              <w:t xml:space="preserve">(b) </w:t>
            </w:r>
            <w:r w:rsidRPr="0022554A">
              <w:rPr>
                <w:sz w:val="20"/>
              </w:rPr>
              <w:t>Give reasons for non-participation at each stage</w:t>
            </w:r>
          </w:p>
        </w:tc>
        <w:tc>
          <w:tcPr>
            <w:tcW w:w="0" w:type="auto"/>
            <w:tcBorders>
              <w:top w:val="single" w:sz="4" w:space="0" w:color="auto"/>
              <w:left w:val="single" w:sz="4" w:space="0" w:color="auto"/>
              <w:bottom w:val="single" w:sz="4" w:space="0" w:color="auto"/>
            </w:tcBorders>
          </w:tcPr>
          <w:p w14:paraId="1DD28D90" w14:textId="1FC1CE73" w:rsidR="008B4D60" w:rsidRDefault="008B4D60" w:rsidP="008B4D60">
            <w:pPr>
              <w:tabs>
                <w:tab w:val="left" w:pos="5400"/>
              </w:tabs>
              <w:rPr>
                <w:sz w:val="20"/>
              </w:rPr>
            </w:pPr>
            <w:r>
              <w:rPr>
                <w:sz w:val="20"/>
              </w:rPr>
              <w:t>N/A</w:t>
            </w:r>
          </w:p>
        </w:tc>
      </w:tr>
      <w:tr w:rsidR="008B4D60" w:rsidRPr="0022554A" w14:paraId="01A0B685" w14:textId="77777777" w:rsidTr="00F968F7">
        <w:tc>
          <w:tcPr>
            <w:tcW w:w="0" w:type="auto"/>
            <w:vMerge/>
          </w:tcPr>
          <w:p w14:paraId="1CC094FD" w14:textId="77777777" w:rsidR="008B4D60" w:rsidRPr="0022554A" w:rsidRDefault="008B4D60" w:rsidP="008B4D60">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23206BBA" w14:textId="77777777" w:rsidR="008B4D60" w:rsidRPr="0022554A" w:rsidRDefault="008B4D60" w:rsidP="008B4D60">
            <w:pPr>
              <w:tabs>
                <w:tab w:val="left" w:pos="5400"/>
              </w:tabs>
              <w:jc w:val="center"/>
              <w:rPr>
                <w:sz w:val="20"/>
              </w:rPr>
            </w:pPr>
          </w:p>
        </w:tc>
        <w:tc>
          <w:tcPr>
            <w:tcW w:w="0" w:type="auto"/>
            <w:tcBorders>
              <w:right w:val="single" w:sz="4" w:space="0" w:color="auto"/>
            </w:tcBorders>
          </w:tcPr>
          <w:p w14:paraId="2DD192CB" w14:textId="77777777" w:rsidR="008B4D60" w:rsidRPr="0022554A" w:rsidRDefault="008B4D60" w:rsidP="008B4D60">
            <w:pPr>
              <w:tabs>
                <w:tab w:val="left" w:pos="5400"/>
              </w:tabs>
              <w:rPr>
                <w:sz w:val="20"/>
              </w:rPr>
            </w:pPr>
            <w:bookmarkStart w:id="61" w:name="OLE_LINK4"/>
            <w:r>
              <w:rPr>
                <w:sz w:val="20"/>
              </w:rPr>
              <w:t xml:space="preserve">(c) </w:t>
            </w:r>
            <w:r w:rsidRPr="0022554A">
              <w:rPr>
                <w:sz w:val="20"/>
              </w:rPr>
              <w:t>Consider use of a flow diagram</w:t>
            </w:r>
            <w:bookmarkEnd w:id="61"/>
          </w:p>
        </w:tc>
        <w:tc>
          <w:tcPr>
            <w:tcW w:w="0" w:type="auto"/>
            <w:tcBorders>
              <w:top w:val="single" w:sz="4" w:space="0" w:color="auto"/>
              <w:left w:val="single" w:sz="4" w:space="0" w:color="auto"/>
              <w:bottom w:val="single" w:sz="4" w:space="0" w:color="auto"/>
            </w:tcBorders>
          </w:tcPr>
          <w:p w14:paraId="5BF92F84" w14:textId="20969369" w:rsidR="008B4D60" w:rsidRDefault="008B4D60" w:rsidP="008B4D60">
            <w:pPr>
              <w:tabs>
                <w:tab w:val="left" w:pos="5400"/>
              </w:tabs>
              <w:rPr>
                <w:sz w:val="20"/>
              </w:rPr>
            </w:pPr>
            <w:r>
              <w:rPr>
                <w:sz w:val="20"/>
              </w:rPr>
              <w:t>N/A</w:t>
            </w:r>
          </w:p>
        </w:tc>
      </w:tr>
      <w:tr w:rsidR="008B4D60" w:rsidRPr="0022554A" w14:paraId="714AE9F7" w14:textId="77777777" w:rsidTr="00F968F7">
        <w:tc>
          <w:tcPr>
            <w:tcW w:w="0" w:type="auto"/>
            <w:vMerge w:val="restart"/>
          </w:tcPr>
          <w:p w14:paraId="0D86BE72" w14:textId="3D8C9DDC" w:rsidR="008B4D60" w:rsidRPr="0022554A" w:rsidRDefault="008B4D60" w:rsidP="008B4D60">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0544E2C0" w14:textId="77777777" w:rsidR="008B4D60" w:rsidRPr="0022554A" w:rsidRDefault="008B4D60" w:rsidP="008B4D60">
            <w:pPr>
              <w:tabs>
                <w:tab w:val="left" w:pos="5400"/>
              </w:tabs>
              <w:jc w:val="center"/>
              <w:rPr>
                <w:sz w:val="20"/>
              </w:rPr>
            </w:pPr>
            <w:r w:rsidRPr="0022554A">
              <w:rPr>
                <w:sz w:val="20"/>
              </w:rPr>
              <w:t>14</w:t>
            </w:r>
            <w:bookmarkStart w:id="66" w:name="bold35"/>
            <w:r w:rsidRPr="0022554A">
              <w:rPr>
                <w:bCs/>
                <w:sz w:val="20"/>
              </w:rPr>
              <w:t>*</w:t>
            </w:r>
            <w:bookmarkEnd w:id="66"/>
          </w:p>
        </w:tc>
        <w:tc>
          <w:tcPr>
            <w:tcW w:w="0" w:type="auto"/>
            <w:tcBorders>
              <w:right w:val="single" w:sz="4" w:space="0" w:color="auto"/>
            </w:tcBorders>
          </w:tcPr>
          <w:p w14:paraId="3EBB9BBB" w14:textId="77777777" w:rsidR="008B4D60" w:rsidRPr="0022554A" w:rsidRDefault="008B4D60" w:rsidP="008B4D60">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0" w:type="auto"/>
            <w:tcBorders>
              <w:top w:val="single" w:sz="4" w:space="0" w:color="auto"/>
              <w:left w:val="single" w:sz="4" w:space="0" w:color="auto"/>
              <w:bottom w:val="single" w:sz="4" w:space="0" w:color="auto"/>
            </w:tcBorders>
          </w:tcPr>
          <w:p w14:paraId="3E522B10" w14:textId="1ECC943B" w:rsidR="008B4D60" w:rsidRDefault="008B4D60" w:rsidP="008B4D60">
            <w:pPr>
              <w:tabs>
                <w:tab w:val="left" w:pos="5400"/>
              </w:tabs>
              <w:rPr>
                <w:sz w:val="20"/>
              </w:rPr>
            </w:pPr>
            <w:r>
              <w:rPr>
                <w:sz w:val="20"/>
              </w:rPr>
              <w:t>Table 1</w:t>
            </w:r>
          </w:p>
        </w:tc>
      </w:tr>
      <w:tr w:rsidR="008B4D60" w:rsidRPr="0022554A" w14:paraId="2F4E80B0" w14:textId="77777777" w:rsidTr="00F968F7">
        <w:tc>
          <w:tcPr>
            <w:tcW w:w="0" w:type="auto"/>
            <w:vMerge/>
          </w:tcPr>
          <w:p w14:paraId="61FE8ACF" w14:textId="77777777" w:rsidR="008B4D60" w:rsidRPr="0022554A" w:rsidRDefault="008B4D60" w:rsidP="008B4D60">
            <w:pPr>
              <w:tabs>
                <w:tab w:val="left" w:pos="5400"/>
              </w:tabs>
              <w:rPr>
                <w:bCs/>
                <w:sz w:val="20"/>
              </w:rPr>
            </w:pPr>
            <w:bookmarkStart w:id="67" w:name="bold36" w:colFirst="0" w:colLast="0"/>
            <w:bookmarkStart w:id="68" w:name="italic36" w:colFirst="0" w:colLast="0"/>
          </w:p>
        </w:tc>
        <w:tc>
          <w:tcPr>
            <w:tcW w:w="0" w:type="auto"/>
            <w:vMerge/>
          </w:tcPr>
          <w:p w14:paraId="7D201E8E" w14:textId="77777777" w:rsidR="008B4D60" w:rsidRPr="0022554A" w:rsidRDefault="008B4D60" w:rsidP="008B4D60">
            <w:pPr>
              <w:tabs>
                <w:tab w:val="left" w:pos="5400"/>
              </w:tabs>
              <w:jc w:val="center"/>
              <w:rPr>
                <w:sz w:val="20"/>
              </w:rPr>
            </w:pPr>
          </w:p>
        </w:tc>
        <w:tc>
          <w:tcPr>
            <w:tcW w:w="0" w:type="auto"/>
            <w:tcBorders>
              <w:right w:val="single" w:sz="4" w:space="0" w:color="auto"/>
            </w:tcBorders>
          </w:tcPr>
          <w:p w14:paraId="54413B59" w14:textId="77777777" w:rsidR="008B4D60" w:rsidRPr="0022554A" w:rsidRDefault="008B4D60" w:rsidP="008B4D60">
            <w:pPr>
              <w:tabs>
                <w:tab w:val="left" w:pos="5400"/>
              </w:tabs>
              <w:rPr>
                <w:sz w:val="20"/>
              </w:rPr>
            </w:pPr>
            <w:r>
              <w:rPr>
                <w:sz w:val="20"/>
              </w:rPr>
              <w:t xml:space="preserve">(b) </w:t>
            </w:r>
            <w:r w:rsidRPr="0022554A">
              <w:rPr>
                <w:sz w:val="20"/>
              </w:rPr>
              <w:t>Indicate number of participants with missing data for each variable of interest</w:t>
            </w:r>
          </w:p>
        </w:tc>
        <w:tc>
          <w:tcPr>
            <w:tcW w:w="0" w:type="auto"/>
            <w:tcBorders>
              <w:top w:val="single" w:sz="4" w:space="0" w:color="auto"/>
              <w:left w:val="single" w:sz="4" w:space="0" w:color="auto"/>
              <w:bottom w:val="single" w:sz="4" w:space="0" w:color="auto"/>
            </w:tcBorders>
          </w:tcPr>
          <w:p w14:paraId="658EB8A5" w14:textId="4CDDFEB7" w:rsidR="008B4D60" w:rsidRDefault="008B4D60" w:rsidP="008B4D60">
            <w:pPr>
              <w:tabs>
                <w:tab w:val="left" w:pos="5400"/>
              </w:tabs>
              <w:rPr>
                <w:sz w:val="20"/>
              </w:rPr>
            </w:pPr>
            <w:r>
              <w:rPr>
                <w:sz w:val="20"/>
              </w:rPr>
              <w:t>Table 1, Table 2</w:t>
            </w:r>
          </w:p>
        </w:tc>
      </w:tr>
      <w:tr w:rsidR="008B4D60" w:rsidRPr="0022554A" w14:paraId="317F880F" w14:textId="77777777" w:rsidTr="00F968F7">
        <w:trPr>
          <w:trHeight w:val="295"/>
        </w:trPr>
        <w:tc>
          <w:tcPr>
            <w:tcW w:w="0" w:type="auto"/>
          </w:tcPr>
          <w:p w14:paraId="71ABA53E" w14:textId="63C0DFCB" w:rsidR="008B4D60" w:rsidRPr="0022554A" w:rsidRDefault="008B4D60" w:rsidP="008B4D60">
            <w:pPr>
              <w:tabs>
                <w:tab w:val="left" w:pos="5400"/>
              </w:tabs>
              <w:rPr>
                <w:bCs/>
                <w:sz w:val="20"/>
              </w:rPr>
            </w:pPr>
            <w:bookmarkStart w:id="69" w:name="bold38" w:colFirst="0" w:colLast="0"/>
            <w:bookmarkStart w:id="70" w:name="italic38" w:colFirst="0" w:colLast="0"/>
            <w:bookmarkEnd w:id="67"/>
            <w:bookmarkEnd w:id="68"/>
            <w:r w:rsidRPr="0022554A">
              <w:rPr>
                <w:bCs/>
                <w:sz w:val="20"/>
              </w:rPr>
              <w:t>Outcome data</w:t>
            </w:r>
          </w:p>
        </w:tc>
        <w:tc>
          <w:tcPr>
            <w:tcW w:w="0" w:type="auto"/>
          </w:tcPr>
          <w:p w14:paraId="60EF3C66" w14:textId="77777777" w:rsidR="008B4D60" w:rsidRPr="0022554A" w:rsidRDefault="008B4D60" w:rsidP="008B4D60">
            <w:pPr>
              <w:tabs>
                <w:tab w:val="left" w:pos="5400"/>
              </w:tabs>
              <w:jc w:val="center"/>
              <w:rPr>
                <w:sz w:val="20"/>
              </w:rPr>
            </w:pPr>
            <w:r w:rsidRPr="0022554A">
              <w:rPr>
                <w:sz w:val="20"/>
              </w:rPr>
              <w:t>15</w:t>
            </w:r>
            <w:bookmarkStart w:id="71" w:name="bold39"/>
            <w:r w:rsidRPr="0022554A">
              <w:rPr>
                <w:bCs/>
                <w:sz w:val="20"/>
              </w:rPr>
              <w:t>*</w:t>
            </w:r>
            <w:bookmarkEnd w:id="71"/>
          </w:p>
        </w:tc>
        <w:tc>
          <w:tcPr>
            <w:tcW w:w="0" w:type="auto"/>
            <w:tcBorders>
              <w:right w:val="single" w:sz="4" w:space="0" w:color="auto"/>
            </w:tcBorders>
          </w:tcPr>
          <w:p w14:paraId="54ECFF14" w14:textId="77777777" w:rsidR="008B4D60" w:rsidRPr="0022554A" w:rsidRDefault="008B4D60" w:rsidP="008B4D60">
            <w:pPr>
              <w:tabs>
                <w:tab w:val="left" w:pos="5400"/>
              </w:tabs>
              <w:rPr>
                <w:sz w:val="20"/>
              </w:rPr>
            </w:pPr>
            <w:r w:rsidRPr="0022554A">
              <w:rPr>
                <w:sz w:val="20"/>
              </w:rPr>
              <w:t>Report numbers of outcome events or summary measures</w:t>
            </w:r>
          </w:p>
        </w:tc>
        <w:tc>
          <w:tcPr>
            <w:tcW w:w="0" w:type="auto"/>
            <w:tcBorders>
              <w:top w:val="single" w:sz="4" w:space="0" w:color="auto"/>
              <w:left w:val="single" w:sz="4" w:space="0" w:color="auto"/>
              <w:bottom w:val="single" w:sz="4" w:space="0" w:color="auto"/>
            </w:tcBorders>
          </w:tcPr>
          <w:p w14:paraId="23027CEE" w14:textId="34ABCF0E" w:rsidR="008B4D60" w:rsidRPr="0022554A" w:rsidRDefault="008B4D60" w:rsidP="008B4D60">
            <w:pPr>
              <w:tabs>
                <w:tab w:val="left" w:pos="5400"/>
              </w:tabs>
              <w:rPr>
                <w:sz w:val="20"/>
              </w:rPr>
            </w:pPr>
            <w:r>
              <w:rPr>
                <w:sz w:val="20"/>
              </w:rPr>
              <w:t>Table 1, Table 2</w:t>
            </w:r>
          </w:p>
        </w:tc>
      </w:tr>
      <w:tr w:rsidR="008B4D60" w:rsidRPr="0022554A" w14:paraId="63D25894" w14:textId="77777777" w:rsidTr="00F968F7">
        <w:tc>
          <w:tcPr>
            <w:tcW w:w="0" w:type="auto"/>
            <w:vMerge w:val="restart"/>
          </w:tcPr>
          <w:p w14:paraId="049379E0" w14:textId="77777777" w:rsidR="008B4D60" w:rsidRPr="0022554A" w:rsidRDefault="008B4D60" w:rsidP="008B4D60">
            <w:pPr>
              <w:tabs>
                <w:tab w:val="left" w:pos="5400"/>
              </w:tabs>
              <w:rPr>
                <w:bCs/>
                <w:sz w:val="20"/>
              </w:rPr>
            </w:pPr>
            <w:bookmarkStart w:id="72" w:name="italic40" w:colFirst="0" w:colLast="0"/>
            <w:bookmarkStart w:id="73" w:name="bold41" w:colFirst="0" w:colLast="0"/>
            <w:bookmarkEnd w:id="69"/>
            <w:bookmarkEnd w:id="70"/>
            <w:r w:rsidRPr="0022554A">
              <w:rPr>
                <w:bCs/>
                <w:sz w:val="20"/>
              </w:rPr>
              <w:t>Main results</w:t>
            </w:r>
          </w:p>
        </w:tc>
        <w:tc>
          <w:tcPr>
            <w:tcW w:w="0" w:type="auto"/>
            <w:vMerge w:val="restart"/>
          </w:tcPr>
          <w:p w14:paraId="28B7325C" w14:textId="77777777" w:rsidR="008B4D60" w:rsidRPr="0022554A" w:rsidRDefault="008B4D60" w:rsidP="008B4D60">
            <w:pPr>
              <w:tabs>
                <w:tab w:val="left" w:pos="5400"/>
              </w:tabs>
              <w:jc w:val="center"/>
              <w:rPr>
                <w:sz w:val="20"/>
              </w:rPr>
            </w:pPr>
            <w:r w:rsidRPr="0022554A">
              <w:rPr>
                <w:sz w:val="20"/>
              </w:rPr>
              <w:t>16</w:t>
            </w:r>
          </w:p>
        </w:tc>
        <w:tc>
          <w:tcPr>
            <w:tcW w:w="0" w:type="auto"/>
            <w:tcBorders>
              <w:right w:val="single" w:sz="4" w:space="0" w:color="auto"/>
            </w:tcBorders>
          </w:tcPr>
          <w:p w14:paraId="1713BECD" w14:textId="77777777" w:rsidR="008B4D60" w:rsidRPr="006149D3" w:rsidRDefault="008B4D60" w:rsidP="008B4D60">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0" w:type="auto"/>
            <w:tcBorders>
              <w:top w:val="single" w:sz="4" w:space="0" w:color="auto"/>
              <w:left w:val="single" w:sz="4" w:space="0" w:color="auto"/>
              <w:bottom w:val="single" w:sz="4" w:space="0" w:color="auto"/>
            </w:tcBorders>
          </w:tcPr>
          <w:p w14:paraId="6B8B8DF8" w14:textId="4B4E4640" w:rsidR="008B4D60" w:rsidRPr="0022554A" w:rsidRDefault="008B4D60" w:rsidP="008B4D60">
            <w:pPr>
              <w:tabs>
                <w:tab w:val="left" w:pos="5400"/>
              </w:tabs>
              <w:rPr>
                <w:sz w:val="20"/>
              </w:rPr>
            </w:pPr>
            <w:r>
              <w:rPr>
                <w:sz w:val="20"/>
              </w:rPr>
              <w:t>Results, paragraph 1, 2</w:t>
            </w:r>
          </w:p>
        </w:tc>
      </w:tr>
      <w:tr w:rsidR="008B4D60" w:rsidRPr="0022554A" w14:paraId="209669C0" w14:textId="77777777" w:rsidTr="00F968F7">
        <w:tc>
          <w:tcPr>
            <w:tcW w:w="0" w:type="auto"/>
            <w:vMerge/>
          </w:tcPr>
          <w:p w14:paraId="179D1EC7" w14:textId="77777777" w:rsidR="008B4D60" w:rsidRPr="0022554A" w:rsidRDefault="008B4D60" w:rsidP="008B4D60">
            <w:pPr>
              <w:tabs>
                <w:tab w:val="left" w:pos="5400"/>
              </w:tabs>
              <w:rPr>
                <w:bCs/>
                <w:sz w:val="20"/>
              </w:rPr>
            </w:pPr>
            <w:bookmarkStart w:id="74" w:name="italic41" w:colFirst="0" w:colLast="0"/>
            <w:bookmarkStart w:id="75" w:name="bold42" w:colFirst="0" w:colLast="0"/>
            <w:bookmarkEnd w:id="72"/>
            <w:bookmarkEnd w:id="73"/>
          </w:p>
        </w:tc>
        <w:tc>
          <w:tcPr>
            <w:tcW w:w="0" w:type="auto"/>
            <w:vMerge/>
          </w:tcPr>
          <w:p w14:paraId="01B2792F" w14:textId="77777777" w:rsidR="008B4D60" w:rsidRPr="0022554A" w:rsidRDefault="008B4D60" w:rsidP="008B4D60">
            <w:pPr>
              <w:tabs>
                <w:tab w:val="left" w:pos="5400"/>
              </w:tabs>
              <w:jc w:val="center"/>
              <w:rPr>
                <w:sz w:val="20"/>
              </w:rPr>
            </w:pPr>
          </w:p>
        </w:tc>
        <w:tc>
          <w:tcPr>
            <w:tcW w:w="0" w:type="auto"/>
            <w:tcBorders>
              <w:right w:val="single" w:sz="4" w:space="0" w:color="auto"/>
            </w:tcBorders>
          </w:tcPr>
          <w:p w14:paraId="36DFBF17" w14:textId="77777777" w:rsidR="008B4D60" w:rsidRPr="006149D3" w:rsidRDefault="008B4D60" w:rsidP="008B4D60">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0" w:type="auto"/>
            <w:tcBorders>
              <w:top w:val="single" w:sz="4" w:space="0" w:color="auto"/>
              <w:left w:val="single" w:sz="4" w:space="0" w:color="auto"/>
              <w:bottom w:val="single" w:sz="4" w:space="0" w:color="auto"/>
            </w:tcBorders>
          </w:tcPr>
          <w:p w14:paraId="40B2A5FB" w14:textId="6E56620A" w:rsidR="008B4D60" w:rsidRPr="0022554A" w:rsidRDefault="008B4D60" w:rsidP="008B4D60">
            <w:pPr>
              <w:tabs>
                <w:tab w:val="left" w:pos="5400"/>
              </w:tabs>
              <w:rPr>
                <w:sz w:val="20"/>
              </w:rPr>
            </w:pPr>
            <w:r>
              <w:rPr>
                <w:sz w:val="20"/>
              </w:rPr>
              <w:t>N/A</w:t>
            </w:r>
          </w:p>
        </w:tc>
      </w:tr>
      <w:tr w:rsidR="008B4D60" w:rsidRPr="0022554A" w14:paraId="3842AD69" w14:textId="77777777" w:rsidTr="00F968F7">
        <w:tc>
          <w:tcPr>
            <w:tcW w:w="0" w:type="auto"/>
            <w:vMerge/>
            <w:tcBorders>
              <w:bottom w:val="single" w:sz="4" w:space="0" w:color="auto"/>
            </w:tcBorders>
          </w:tcPr>
          <w:p w14:paraId="45639CE1" w14:textId="77777777" w:rsidR="008B4D60" w:rsidRPr="0022554A" w:rsidRDefault="008B4D60" w:rsidP="008B4D60">
            <w:pPr>
              <w:tabs>
                <w:tab w:val="left" w:pos="5400"/>
              </w:tabs>
              <w:rPr>
                <w:bCs/>
                <w:sz w:val="20"/>
              </w:rPr>
            </w:pPr>
            <w:bookmarkStart w:id="76" w:name="italic42" w:colFirst="0" w:colLast="0"/>
            <w:bookmarkStart w:id="77" w:name="bold43" w:colFirst="0" w:colLast="0"/>
            <w:bookmarkEnd w:id="74"/>
            <w:bookmarkEnd w:id="75"/>
          </w:p>
        </w:tc>
        <w:tc>
          <w:tcPr>
            <w:tcW w:w="0" w:type="auto"/>
            <w:vMerge/>
            <w:tcBorders>
              <w:bottom w:val="single" w:sz="4" w:space="0" w:color="auto"/>
            </w:tcBorders>
          </w:tcPr>
          <w:p w14:paraId="19862B13" w14:textId="77777777" w:rsidR="008B4D60" w:rsidRPr="0022554A" w:rsidRDefault="008B4D60" w:rsidP="008B4D60">
            <w:pPr>
              <w:tabs>
                <w:tab w:val="left" w:pos="5400"/>
              </w:tabs>
              <w:jc w:val="center"/>
              <w:rPr>
                <w:sz w:val="20"/>
              </w:rPr>
            </w:pPr>
          </w:p>
        </w:tc>
        <w:tc>
          <w:tcPr>
            <w:tcW w:w="0" w:type="auto"/>
            <w:tcBorders>
              <w:bottom w:val="single" w:sz="4" w:space="0" w:color="auto"/>
              <w:right w:val="single" w:sz="4" w:space="0" w:color="auto"/>
            </w:tcBorders>
          </w:tcPr>
          <w:p w14:paraId="4B2F2861" w14:textId="77777777" w:rsidR="008B4D60" w:rsidRPr="006149D3" w:rsidRDefault="008B4D60" w:rsidP="008B4D60">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0" w:type="auto"/>
            <w:tcBorders>
              <w:top w:val="single" w:sz="4" w:space="0" w:color="auto"/>
              <w:left w:val="single" w:sz="4" w:space="0" w:color="auto"/>
              <w:bottom w:val="single" w:sz="4" w:space="0" w:color="auto"/>
            </w:tcBorders>
          </w:tcPr>
          <w:p w14:paraId="6B2CFF15" w14:textId="183F291E" w:rsidR="008B4D60" w:rsidRPr="0022554A" w:rsidRDefault="008B4D60" w:rsidP="008B4D60">
            <w:pPr>
              <w:tabs>
                <w:tab w:val="left" w:pos="5400"/>
              </w:tabs>
              <w:rPr>
                <w:sz w:val="20"/>
              </w:rPr>
            </w:pPr>
            <w:r>
              <w:rPr>
                <w:sz w:val="20"/>
              </w:rPr>
              <w:t>N/A</w:t>
            </w:r>
          </w:p>
        </w:tc>
      </w:tr>
      <w:tr w:rsidR="008B4D60" w:rsidRPr="0022554A" w14:paraId="18DF7DCF" w14:textId="77777777" w:rsidTr="00F968F7">
        <w:tc>
          <w:tcPr>
            <w:tcW w:w="0" w:type="auto"/>
            <w:tcBorders>
              <w:top w:val="single" w:sz="4" w:space="0" w:color="auto"/>
              <w:bottom w:val="single" w:sz="4" w:space="0" w:color="auto"/>
            </w:tcBorders>
          </w:tcPr>
          <w:p w14:paraId="71035475" w14:textId="17CDBF1B" w:rsidR="008B4D60" w:rsidRPr="0022554A" w:rsidRDefault="008B4D60" w:rsidP="008B4D60">
            <w:pPr>
              <w:tabs>
                <w:tab w:val="left" w:pos="5400"/>
              </w:tabs>
              <w:rPr>
                <w:bCs/>
                <w:sz w:val="20"/>
              </w:rPr>
            </w:pPr>
            <w:bookmarkStart w:id="78" w:name="italic43"/>
            <w:bookmarkStart w:id="79" w:name="bold44"/>
            <w:bookmarkEnd w:id="76"/>
            <w:bookmarkEnd w:id="77"/>
            <w:r w:rsidRPr="0022554A">
              <w:rPr>
                <w:bCs/>
                <w:sz w:val="20"/>
              </w:rPr>
              <w:t>Other analyses</w:t>
            </w:r>
            <w:bookmarkEnd w:id="78"/>
            <w:bookmarkEnd w:id="79"/>
          </w:p>
        </w:tc>
        <w:tc>
          <w:tcPr>
            <w:tcW w:w="0" w:type="auto"/>
            <w:tcBorders>
              <w:top w:val="single" w:sz="4" w:space="0" w:color="auto"/>
              <w:bottom w:val="single" w:sz="4" w:space="0" w:color="auto"/>
            </w:tcBorders>
          </w:tcPr>
          <w:p w14:paraId="27CBF900" w14:textId="77777777" w:rsidR="008B4D60" w:rsidRPr="0022554A" w:rsidRDefault="008B4D60" w:rsidP="008B4D60">
            <w:pPr>
              <w:tabs>
                <w:tab w:val="left" w:pos="5400"/>
              </w:tabs>
              <w:jc w:val="center"/>
              <w:rPr>
                <w:sz w:val="20"/>
              </w:rPr>
            </w:pPr>
            <w:r w:rsidRPr="0022554A">
              <w:rPr>
                <w:sz w:val="20"/>
              </w:rPr>
              <w:t>17</w:t>
            </w:r>
          </w:p>
        </w:tc>
        <w:tc>
          <w:tcPr>
            <w:tcW w:w="0" w:type="auto"/>
            <w:tcBorders>
              <w:top w:val="single" w:sz="4" w:space="0" w:color="auto"/>
              <w:bottom w:val="single" w:sz="4" w:space="0" w:color="auto"/>
              <w:right w:val="single" w:sz="4" w:space="0" w:color="auto"/>
            </w:tcBorders>
          </w:tcPr>
          <w:p w14:paraId="571C4F70" w14:textId="77777777" w:rsidR="008B4D60" w:rsidRPr="0022554A" w:rsidRDefault="008B4D60" w:rsidP="008B4D60">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0" w:type="auto"/>
            <w:tcBorders>
              <w:top w:val="single" w:sz="4" w:space="0" w:color="auto"/>
              <w:left w:val="single" w:sz="4" w:space="0" w:color="auto"/>
              <w:bottom w:val="single" w:sz="4" w:space="0" w:color="auto"/>
            </w:tcBorders>
          </w:tcPr>
          <w:p w14:paraId="74205EBD" w14:textId="42DBA16F" w:rsidR="008B4D60" w:rsidRPr="0022554A" w:rsidRDefault="008B4D60" w:rsidP="008B4D60">
            <w:pPr>
              <w:tabs>
                <w:tab w:val="left" w:pos="5400"/>
              </w:tabs>
              <w:rPr>
                <w:sz w:val="20"/>
              </w:rPr>
            </w:pPr>
            <w:r>
              <w:rPr>
                <w:sz w:val="20"/>
              </w:rPr>
              <w:t>N/A</w:t>
            </w:r>
          </w:p>
        </w:tc>
      </w:tr>
      <w:tr w:rsidR="00F968F7" w:rsidRPr="0022554A" w14:paraId="4592C80C" w14:textId="77777777" w:rsidTr="008E6252">
        <w:tc>
          <w:tcPr>
            <w:tcW w:w="0" w:type="auto"/>
            <w:gridSpan w:val="4"/>
            <w:tcBorders>
              <w:top w:val="single" w:sz="4" w:space="0" w:color="auto"/>
            </w:tcBorders>
          </w:tcPr>
          <w:p w14:paraId="50EA3F7F" w14:textId="37C2E89D" w:rsidR="00F968F7" w:rsidRPr="0022554A" w:rsidRDefault="00F968F7" w:rsidP="0022554A">
            <w:pPr>
              <w:pStyle w:val="TableSubHead"/>
              <w:tabs>
                <w:tab w:val="left" w:pos="5400"/>
              </w:tabs>
              <w:rPr>
                <w:sz w:val="20"/>
              </w:rPr>
            </w:pPr>
            <w:bookmarkStart w:id="80" w:name="italic44"/>
            <w:bookmarkStart w:id="81" w:name="bold45"/>
            <w:r w:rsidRPr="0022554A">
              <w:rPr>
                <w:sz w:val="20"/>
              </w:rPr>
              <w:t>Discussion</w:t>
            </w:r>
            <w:bookmarkEnd w:id="80"/>
            <w:bookmarkEnd w:id="81"/>
          </w:p>
        </w:tc>
      </w:tr>
      <w:tr w:rsidR="008B4D60" w:rsidRPr="0022554A" w14:paraId="03309F9E" w14:textId="77777777" w:rsidTr="00F968F7">
        <w:tc>
          <w:tcPr>
            <w:tcW w:w="0" w:type="auto"/>
          </w:tcPr>
          <w:p w14:paraId="2B115731" w14:textId="77777777" w:rsidR="008B4D60" w:rsidRPr="0022554A" w:rsidRDefault="008B4D60" w:rsidP="008B4D60">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14:paraId="534ABCAE" w14:textId="77777777" w:rsidR="008B4D60" w:rsidRPr="0022554A" w:rsidRDefault="008B4D60" w:rsidP="008B4D60">
            <w:pPr>
              <w:tabs>
                <w:tab w:val="left" w:pos="5400"/>
              </w:tabs>
              <w:jc w:val="center"/>
              <w:rPr>
                <w:sz w:val="20"/>
              </w:rPr>
            </w:pPr>
            <w:r w:rsidRPr="0022554A">
              <w:rPr>
                <w:sz w:val="20"/>
              </w:rPr>
              <w:t>18</w:t>
            </w:r>
          </w:p>
        </w:tc>
        <w:tc>
          <w:tcPr>
            <w:tcW w:w="0" w:type="auto"/>
            <w:tcBorders>
              <w:right w:val="single" w:sz="4" w:space="0" w:color="auto"/>
            </w:tcBorders>
          </w:tcPr>
          <w:p w14:paraId="75353CCB" w14:textId="77777777" w:rsidR="008B4D60" w:rsidRPr="0022554A" w:rsidRDefault="008B4D60" w:rsidP="008B4D60">
            <w:pPr>
              <w:tabs>
                <w:tab w:val="left" w:pos="5400"/>
              </w:tabs>
              <w:rPr>
                <w:sz w:val="20"/>
              </w:rPr>
            </w:pPr>
            <w:r w:rsidRPr="0022554A">
              <w:rPr>
                <w:sz w:val="20"/>
              </w:rPr>
              <w:t>Summarise key results with reference to study objectives</w:t>
            </w:r>
          </w:p>
        </w:tc>
        <w:tc>
          <w:tcPr>
            <w:tcW w:w="0" w:type="auto"/>
            <w:tcBorders>
              <w:top w:val="single" w:sz="4" w:space="0" w:color="auto"/>
              <w:left w:val="single" w:sz="4" w:space="0" w:color="auto"/>
              <w:bottom w:val="single" w:sz="4" w:space="0" w:color="auto"/>
            </w:tcBorders>
          </w:tcPr>
          <w:p w14:paraId="166A32EE" w14:textId="74EBB941" w:rsidR="008B4D60" w:rsidRPr="0022554A" w:rsidRDefault="008B4D60" w:rsidP="008B4D60">
            <w:pPr>
              <w:tabs>
                <w:tab w:val="left" w:pos="5400"/>
              </w:tabs>
              <w:rPr>
                <w:sz w:val="20"/>
              </w:rPr>
            </w:pPr>
            <w:r>
              <w:rPr>
                <w:sz w:val="20"/>
              </w:rPr>
              <w:t>Discussion, paragraph 1</w:t>
            </w:r>
          </w:p>
        </w:tc>
      </w:tr>
      <w:tr w:rsidR="008B4D60" w:rsidRPr="0022554A" w14:paraId="66E9A10F" w14:textId="77777777" w:rsidTr="00F968F7">
        <w:tc>
          <w:tcPr>
            <w:tcW w:w="0" w:type="auto"/>
          </w:tcPr>
          <w:p w14:paraId="7B682AFD" w14:textId="77777777" w:rsidR="008B4D60" w:rsidRPr="0022554A" w:rsidRDefault="008B4D60" w:rsidP="008B4D60">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14:paraId="66462DC3" w14:textId="77777777" w:rsidR="008B4D60" w:rsidRPr="0022554A" w:rsidRDefault="008B4D60" w:rsidP="008B4D60">
            <w:pPr>
              <w:tabs>
                <w:tab w:val="left" w:pos="5400"/>
              </w:tabs>
              <w:jc w:val="center"/>
              <w:rPr>
                <w:sz w:val="20"/>
              </w:rPr>
            </w:pPr>
            <w:r w:rsidRPr="0022554A">
              <w:rPr>
                <w:sz w:val="20"/>
              </w:rPr>
              <w:t>19</w:t>
            </w:r>
          </w:p>
        </w:tc>
        <w:tc>
          <w:tcPr>
            <w:tcW w:w="0" w:type="auto"/>
            <w:tcBorders>
              <w:right w:val="single" w:sz="4" w:space="0" w:color="auto"/>
            </w:tcBorders>
          </w:tcPr>
          <w:p w14:paraId="2D567A5E" w14:textId="77777777" w:rsidR="008B4D60" w:rsidRPr="0022554A" w:rsidRDefault="008B4D60" w:rsidP="008B4D60">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0" w:type="auto"/>
            <w:tcBorders>
              <w:top w:val="single" w:sz="4" w:space="0" w:color="auto"/>
              <w:left w:val="single" w:sz="4" w:space="0" w:color="auto"/>
              <w:bottom w:val="single" w:sz="4" w:space="0" w:color="auto"/>
            </w:tcBorders>
          </w:tcPr>
          <w:p w14:paraId="69A12A88" w14:textId="2A299B83" w:rsidR="008B4D60" w:rsidRPr="0022554A" w:rsidRDefault="008B4D60" w:rsidP="008B4D60">
            <w:pPr>
              <w:tabs>
                <w:tab w:val="left" w:pos="5400"/>
              </w:tabs>
              <w:rPr>
                <w:sz w:val="20"/>
              </w:rPr>
            </w:pPr>
            <w:r>
              <w:rPr>
                <w:sz w:val="20"/>
              </w:rPr>
              <w:t>Discussion, paragraph 4</w:t>
            </w:r>
          </w:p>
        </w:tc>
      </w:tr>
      <w:tr w:rsidR="008B4D60" w:rsidRPr="0022554A" w14:paraId="6A42199B" w14:textId="77777777" w:rsidTr="00F968F7">
        <w:tc>
          <w:tcPr>
            <w:tcW w:w="0" w:type="auto"/>
          </w:tcPr>
          <w:p w14:paraId="2BD4ADBE" w14:textId="77777777" w:rsidR="008B4D60" w:rsidRPr="0022554A" w:rsidRDefault="008B4D60" w:rsidP="008B4D60">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14:paraId="191A1E14" w14:textId="77777777" w:rsidR="008B4D60" w:rsidRPr="0022554A" w:rsidRDefault="008B4D60" w:rsidP="008B4D60">
            <w:pPr>
              <w:tabs>
                <w:tab w:val="left" w:pos="5400"/>
              </w:tabs>
              <w:jc w:val="center"/>
              <w:rPr>
                <w:sz w:val="20"/>
              </w:rPr>
            </w:pPr>
            <w:r w:rsidRPr="0022554A">
              <w:rPr>
                <w:sz w:val="20"/>
              </w:rPr>
              <w:t>20</w:t>
            </w:r>
          </w:p>
        </w:tc>
        <w:tc>
          <w:tcPr>
            <w:tcW w:w="0" w:type="auto"/>
            <w:tcBorders>
              <w:right w:val="single" w:sz="4" w:space="0" w:color="auto"/>
            </w:tcBorders>
          </w:tcPr>
          <w:p w14:paraId="1A00A6C1" w14:textId="77777777" w:rsidR="008B4D60" w:rsidRPr="0022554A" w:rsidRDefault="008B4D60" w:rsidP="008B4D60">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0" w:type="auto"/>
            <w:tcBorders>
              <w:top w:val="single" w:sz="4" w:space="0" w:color="auto"/>
              <w:left w:val="single" w:sz="4" w:space="0" w:color="auto"/>
              <w:bottom w:val="single" w:sz="4" w:space="0" w:color="auto"/>
            </w:tcBorders>
          </w:tcPr>
          <w:p w14:paraId="260A0A83" w14:textId="3A3B09B3" w:rsidR="008B4D60" w:rsidRPr="0022554A" w:rsidRDefault="008B4D60" w:rsidP="008B4D60">
            <w:pPr>
              <w:tabs>
                <w:tab w:val="left" w:pos="5400"/>
              </w:tabs>
              <w:rPr>
                <w:sz w:val="20"/>
              </w:rPr>
            </w:pPr>
            <w:r>
              <w:rPr>
                <w:sz w:val="20"/>
              </w:rPr>
              <w:t>Discussion, paragraphs 2, 3, 4</w:t>
            </w:r>
          </w:p>
        </w:tc>
      </w:tr>
      <w:tr w:rsidR="008B4D60" w:rsidRPr="0022554A" w14:paraId="4C92A79D" w14:textId="77777777" w:rsidTr="00F968F7">
        <w:tc>
          <w:tcPr>
            <w:tcW w:w="0" w:type="auto"/>
          </w:tcPr>
          <w:p w14:paraId="04DD3D3B" w14:textId="77777777" w:rsidR="008B4D60" w:rsidRPr="0022554A" w:rsidRDefault="008B4D60" w:rsidP="008B4D60">
            <w:pPr>
              <w:tabs>
                <w:tab w:val="left" w:pos="5400"/>
              </w:tabs>
              <w:rPr>
                <w:bCs/>
                <w:sz w:val="20"/>
              </w:rPr>
            </w:pPr>
            <w:bookmarkStart w:id="88" w:name="italic48" w:colFirst="0" w:colLast="0"/>
            <w:bookmarkStart w:id="89" w:name="bold49" w:colFirst="0" w:colLast="0"/>
            <w:bookmarkEnd w:id="86"/>
            <w:bookmarkEnd w:id="87"/>
            <w:r w:rsidRPr="0022554A">
              <w:rPr>
                <w:bCs/>
                <w:sz w:val="20"/>
              </w:rPr>
              <w:t>Generalisability</w:t>
            </w:r>
          </w:p>
        </w:tc>
        <w:tc>
          <w:tcPr>
            <w:tcW w:w="0" w:type="auto"/>
          </w:tcPr>
          <w:p w14:paraId="3682C5D1" w14:textId="77777777" w:rsidR="008B4D60" w:rsidRPr="0022554A" w:rsidRDefault="008B4D60" w:rsidP="008B4D60">
            <w:pPr>
              <w:tabs>
                <w:tab w:val="left" w:pos="5400"/>
              </w:tabs>
              <w:jc w:val="center"/>
              <w:rPr>
                <w:sz w:val="20"/>
              </w:rPr>
            </w:pPr>
            <w:r w:rsidRPr="0022554A">
              <w:rPr>
                <w:sz w:val="20"/>
              </w:rPr>
              <w:t>21</w:t>
            </w:r>
          </w:p>
        </w:tc>
        <w:tc>
          <w:tcPr>
            <w:tcW w:w="0" w:type="auto"/>
            <w:tcBorders>
              <w:right w:val="single" w:sz="4" w:space="0" w:color="auto"/>
            </w:tcBorders>
          </w:tcPr>
          <w:p w14:paraId="51EBC468" w14:textId="77777777" w:rsidR="008B4D60" w:rsidRPr="0022554A" w:rsidRDefault="008B4D60" w:rsidP="008B4D60">
            <w:pPr>
              <w:tabs>
                <w:tab w:val="left" w:pos="5400"/>
              </w:tabs>
              <w:rPr>
                <w:sz w:val="20"/>
              </w:rPr>
            </w:pPr>
            <w:r w:rsidRPr="0022554A">
              <w:rPr>
                <w:sz w:val="20"/>
              </w:rPr>
              <w:t>Discuss the generalisability (external validity) of the study results</w:t>
            </w:r>
          </w:p>
        </w:tc>
        <w:tc>
          <w:tcPr>
            <w:tcW w:w="0" w:type="auto"/>
            <w:tcBorders>
              <w:top w:val="single" w:sz="4" w:space="0" w:color="auto"/>
              <w:left w:val="single" w:sz="4" w:space="0" w:color="auto"/>
              <w:bottom w:val="single" w:sz="4" w:space="0" w:color="auto"/>
            </w:tcBorders>
          </w:tcPr>
          <w:p w14:paraId="5CDAAFAF" w14:textId="626374B4" w:rsidR="008B4D60" w:rsidRPr="0022554A" w:rsidRDefault="008B4D60" w:rsidP="008B4D60">
            <w:pPr>
              <w:tabs>
                <w:tab w:val="left" w:pos="5400"/>
              </w:tabs>
              <w:rPr>
                <w:sz w:val="20"/>
              </w:rPr>
            </w:pPr>
            <w:r>
              <w:rPr>
                <w:sz w:val="20"/>
              </w:rPr>
              <w:t>Discussion, paragraph 4</w:t>
            </w:r>
          </w:p>
        </w:tc>
      </w:tr>
      <w:tr w:rsidR="00F968F7" w:rsidRPr="0022554A" w14:paraId="5952165A" w14:textId="77777777" w:rsidTr="006941E6">
        <w:tc>
          <w:tcPr>
            <w:tcW w:w="0" w:type="auto"/>
            <w:gridSpan w:val="4"/>
            <w:tcBorders>
              <w:bottom w:val="single" w:sz="4" w:space="0" w:color="auto"/>
            </w:tcBorders>
          </w:tcPr>
          <w:p w14:paraId="3135001D" w14:textId="454BB289" w:rsidR="00F968F7" w:rsidRPr="0022554A" w:rsidRDefault="00F968F7" w:rsidP="0022554A">
            <w:pPr>
              <w:pStyle w:val="TableSubHead"/>
              <w:tabs>
                <w:tab w:val="left" w:pos="5400"/>
              </w:tabs>
              <w:rPr>
                <w:sz w:val="20"/>
              </w:rPr>
            </w:pPr>
            <w:bookmarkStart w:id="90" w:name="italic49"/>
            <w:bookmarkStart w:id="91" w:name="bold50"/>
            <w:bookmarkEnd w:id="88"/>
            <w:bookmarkEnd w:id="89"/>
            <w:r w:rsidRPr="0022554A">
              <w:rPr>
                <w:sz w:val="20"/>
              </w:rPr>
              <w:t>Other information</w:t>
            </w:r>
            <w:bookmarkEnd w:id="90"/>
            <w:bookmarkEnd w:id="91"/>
          </w:p>
        </w:tc>
      </w:tr>
      <w:tr w:rsidR="00F968F7" w:rsidRPr="0022554A" w14:paraId="434D647C" w14:textId="77777777" w:rsidTr="00F968F7">
        <w:tc>
          <w:tcPr>
            <w:tcW w:w="0" w:type="auto"/>
            <w:tcBorders>
              <w:top w:val="single" w:sz="4" w:space="0" w:color="auto"/>
              <w:bottom w:val="single" w:sz="4" w:space="0" w:color="auto"/>
            </w:tcBorders>
          </w:tcPr>
          <w:p w14:paraId="3D304EEA" w14:textId="77777777" w:rsidR="00F968F7" w:rsidRPr="0022554A" w:rsidRDefault="00F968F7" w:rsidP="0022554A">
            <w:pPr>
              <w:tabs>
                <w:tab w:val="left" w:pos="5400"/>
              </w:tabs>
              <w:rPr>
                <w:bCs/>
                <w:sz w:val="20"/>
              </w:rPr>
            </w:pPr>
            <w:bookmarkStart w:id="92" w:name="italic50" w:colFirst="0" w:colLast="0"/>
            <w:bookmarkStart w:id="93" w:name="bold51" w:colFirst="0" w:colLast="0"/>
            <w:r w:rsidRPr="0022554A">
              <w:rPr>
                <w:bCs/>
                <w:sz w:val="20"/>
              </w:rPr>
              <w:t>Funding</w:t>
            </w:r>
          </w:p>
        </w:tc>
        <w:tc>
          <w:tcPr>
            <w:tcW w:w="0" w:type="auto"/>
            <w:tcBorders>
              <w:top w:val="single" w:sz="4" w:space="0" w:color="auto"/>
              <w:bottom w:val="single" w:sz="4" w:space="0" w:color="auto"/>
            </w:tcBorders>
          </w:tcPr>
          <w:p w14:paraId="01504725" w14:textId="77777777" w:rsidR="00F968F7" w:rsidRPr="0022554A" w:rsidRDefault="00F968F7" w:rsidP="0022554A">
            <w:pPr>
              <w:tabs>
                <w:tab w:val="left" w:pos="5400"/>
              </w:tabs>
              <w:jc w:val="center"/>
              <w:rPr>
                <w:sz w:val="20"/>
              </w:rPr>
            </w:pPr>
            <w:r w:rsidRPr="0022554A">
              <w:rPr>
                <w:sz w:val="20"/>
              </w:rPr>
              <w:t>22</w:t>
            </w:r>
          </w:p>
        </w:tc>
        <w:tc>
          <w:tcPr>
            <w:tcW w:w="0" w:type="auto"/>
            <w:tcBorders>
              <w:top w:val="single" w:sz="4" w:space="0" w:color="auto"/>
              <w:bottom w:val="single" w:sz="4" w:space="0" w:color="auto"/>
              <w:right w:val="single" w:sz="4" w:space="0" w:color="auto"/>
            </w:tcBorders>
          </w:tcPr>
          <w:p w14:paraId="7FC60BA3" w14:textId="77777777" w:rsidR="00F968F7" w:rsidRPr="0022554A" w:rsidRDefault="00F968F7"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0" w:type="auto"/>
            <w:tcBorders>
              <w:top w:val="single" w:sz="4" w:space="0" w:color="auto"/>
              <w:left w:val="single" w:sz="4" w:space="0" w:color="auto"/>
              <w:bottom w:val="single" w:sz="4" w:space="0" w:color="auto"/>
            </w:tcBorders>
          </w:tcPr>
          <w:p w14:paraId="6BB96B11" w14:textId="5865D427" w:rsidR="00F968F7" w:rsidRPr="0022554A" w:rsidRDefault="00F8414A" w:rsidP="0022554A">
            <w:pPr>
              <w:tabs>
                <w:tab w:val="left" w:pos="5400"/>
              </w:tabs>
              <w:rPr>
                <w:sz w:val="20"/>
              </w:rPr>
            </w:pPr>
            <w:r>
              <w:rPr>
                <w:sz w:val="20"/>
              </w:rPr>
              <w:t>N/A</w:t>
            </w:r>
          </w:p>
        </w:tc>
      </w:tr>
      <w:bookmarkEnd w:id="92"/>
      <w:bookmarkEnd w:id="93"/>
    </w:tbl>
    <w:p w14:paraId="0B14C5E3" w14:textId="77777777" w:rsidR="002602FB" w:rsidRDefault="002602FB" w:rsidP="0022554A">
      <w:pPr>
        <w:pStyle w:val="TableNote"/>
        <w:tabs>
          <w:tab w:val="left" w:pos="5400"/>
        </w:tabs>
        <w:rPr>
          <w:bCs/>
          <w:sz w:val="20"/>
        </w:rPr>
      </w:pPr>
    </w:p>
    <w:p w14:paraId="36F84AF7" w14:textId="77777777"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14:paraId="6E60B3BA" w14:textId="77777777" w:rsidR="00AE2C57" w:rsidRPr="0047331B" w:rsidRDefault="00AE2C57" w:rsidP="0022554A">
      <w:pPr>
        <w:pStyle w:val="TableNote"/>
        <w:tabs>
          <w:tab w:val="left" w:pos="5400"/>
        </w:tabs>
        <w:rPr>
          <w:sz w:val="20"/>
        </w:rPr>
      </w:pPr>
    </w:p>
    <w:p w14:paraId="0EDBEA26" w14:textId="4E6C4A03" w:rsidR="00A42352" w:rsidRPr="0047331B" w:rsidRDefault="002602FB" w:rsidP="002602FB">
      <w:pPr>
        <w:pStyle w:val="TableNote"/>
        <w:tabs>
          <w:tab w:val="left" w:pos="5400"/>
        </w:tabs>
        <w:rPr>
          <w:sz w:val="20"/>
        </w:rPr>
      </w:pPr>
      <w:r w:rsidRPr="0047331B">
        <w:rPr>
          <w:b/>
          <w:sz w:val="20"/>
        </w:rPr>
        <w:t>Note:</w:t>
      </w:r>
      <w:r w:rsidRPr="0047331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47331B">
        <w:rPr>
          <w:sz w:val="20"/>
        </w:rPr>
        <w:t>PLoS</w:t>
      </w:r>
      <w:proofErr w:type="spellEnd"/>
      <w:r w:rsidRPr="0047331B">
        <w:rPr>
          <w:sz w:val="20"/>
        </w:rPr>
        <w:t xml:space="preserve"> Medicine at http://www.plosmedicine.org/, Annals of Internal Medicine at http://www.annals.org/, and Epidemiology at http://www.epidem.com/). Information on the STROBE Initiative is available at </w:t>
      </w:r>
      <w:hyperlink r:id="rId7" w:history="1">
        <w:r w:rsidR="00F8414A" w:rsidRPr="0047331B">
          <w:rPr>
            <w:rStyle w:val="Hyperlink"/>
            <w:sz w:val="20"/>
          </w:rPr>
          <w:t>www.strobe-statement.org</w:t>
        </w:r>
      </w:hyperlink>
      <w:r w:rsidRPr="0047331B">
        <w:rPr>
          <w:sz w:val="20"/>
        </w:rPr>
        <w:t>.</w:t>
      </w:r>
    </w:p>
    <w:p w14:paraId="73AD2EA5" w14:textId="77777777" w:rsidR="006335E9" w:rsidRDefault="006335E9" w:rsidP="002602FB">
      <w:pPr>
        <w:pStyle w:val="TableNote"/>
        <w:tabs>
          <w:tab w:val="left" w:pos="5400"/>
        </w:tabs>
        <w:rPr>
          <w:sz w:val="20"/>
        </w:rPr>
      </w:pPr>
    </w:p>
    <w:p w14:paraId="43C87D45" w14:textId="617F820E" w:rsidR="00F8414A" w:rsidRPr="00A8198D" w:rsidRDefault="00F8414A" w:rsidP="002602FB">
      <w:pPr>
        <w:pStyle w:val="TableNote"/>
        <w:tabs>
          <w:tab w:val="left" w:pos="5400"/>
        </w:tabs>
        <w:rPr>
          <w:b/>
          <w:bCs/>
          <w:sz w:val="20"/>
        </w:rPr>
      </w:pPr>
      <w:r w:rsidRPr="00A8198D">
        <w:rPr>
          <w:b/>
          <w:bCs/>
          <w:sz w:val="20"/>
        </w:rPr>
        <w:t>Excerpts (per item number)</w:t>
      </w:r>
    </w:p>
    <w:p w14:paraId="0F939BAF" w14:textId="77777777" w:rsidR="00E04103" w:rsidRPr="0047331B" w:rsidRDefault="00E04103" w:rsidP="002602FB">
      <w:pPr>
        <w:pStyle w:val="TableNote"/>
        <w:tabs>
          <w:tab w:val="left" w:pos="5400"/>
        </w:tabs>
        <w:rPr>
          <w:sz w:val="20"/>
        </w:rPr>
      </w:pPr>
    </w:p>
    <w:p w14:paraId="758AC0BA" w14:textId="0419E902" w:rsidR="00390E2A" w:rsidRPr="0035263B" w:rsidRDefault="00F8414A" w:rsidP="00390E2A">
      <w:pPr>
        <w:pStyle w:val="NoSpacing"/>
        <w:ind w:left="720" w:hanging="720"/>
        <w:rPr>
          <w:rFonts w:ascii="Times New Roman" w:hAnsi="Times New Roman" w:cs="Times New Roman"/>
          <w:sz w:val="20"/>
          <w:szCs w:val="20"/>
          <w:lang w:val="en"/>
        </w:rPr>
      </w:pPr>
      <w:r w:rsidRPr="0047331B">
        <w:rPr>
          <w:sz w:val="20"/>
        </w:rPr>
        <w:t>1</w:t>
      </w:r>
      <w:r w:rsidR="00E04103" w:rsidRPr="0047331B">
        <w:rPr>
          <w:sz w:val="20"/>
        </w:rPr>
        <w:t xml:space="preserve"> </w:t>
      </w:r>
      <w:r w:rsidR="0047331B" w:rsidRPr="0035263B">
        <w:rPr>
          <w:rFonts w:ascii="Times New Roman" w:hAnsi="Times New Roman" w:cs="Times New Roman"/>
          <w:sz w:val="20"/>
          <w:szCs w:val="20"/>
        </w:rPr>
        <w:tab/>
      </w:r>
      <w:r w:rsidR="00D37AAB" w:rsidRPr="0035263B">
        <w:rPr>
          <w:rFonts w:ascii="Times New Roman" w:hAnsi="Times New Roman" w:cs="Times New Roman"/>
          <w:sz w:val="20"/>
          <w:szCs w:val="20"/>
        </w:rPr>
        <w:t xml:space="preserve">A) </w:t>
      </w:r>
      <w:r w:rsidR="00624B53" w:rsidRPr="0035263B">
        <w:rPr>
          <w:rFonts w:ascii="Times New Roman" w:hAnsi="Times New Roman" w:cs="Times New Roman"/>
          <w:sz w:val="20"/>
          <w:szCs w:val="20"/>
        </w:rPr>
        <w:t>“</w:t>
      </w:r>
      <w:r w:rsidR="00390E2A" w:rsidRPr="0035263B">
        <w:rPr>
          <w:rFonts w:ascii="Times New Roman" w:hAnsi="Times New Roman" w:cs="Times New Roman"/>
          <w:sz w:val="20"/>
          <w:szCs w:val="20"/>
          <w:lang w:val="en"/>
        </w:rPr>
        <w:t>Health Profile of Pediatric Special Immigrant Visa Holders Arriving from Iraq and Afghanistan to the United States 2009–2017: a Cross-Sectional Analysis”</w:t>
      </w:r>
    </w:p>
    <w:p w14:paraId="2778E9A8" w14:textId="67109B93" w:rsidR="00F8414A" w:rsidRPr="0035263B" w:rsidRDefault="00F8414A" w:rsidP="0047331B">
      <w:pPr>
        <w:pStyle w:val="TableNote"/>
        <w:tabs>
          <w:tab w:val="left" w:pos="5400"/>
        </w:tabs>
        <w:ind w:left="720" w:hanging="720"/>
        <w:rPr>
          <w:sz w:val="20"/>
        </w:rPr>
      </w:pPr>
    </w:p>
    <w:p w14:paraId="4425B2F9" w14:textId="77777777" w:rsidR="00E04103" w:rsidRPr="0035263B" w:rsidRDefault="00E04103" w:rsidP="002602FB">
      <w:pPr>
        <w:pStyle w:val="TableNote"/>
        <w:tabs>
          <w:tab w:val="left" w:pos="5400"/>
        </w:tabs>
        <w:rPr>
          <w:sz w:val="20"/>
        </w:rPr>
      </w:pPr>
    </w:p>
    <w:p w14:paraId="03110D4D" w14:textId="5AB75504" w:rsidR="00BB5C02" w:rsidRPr="0035263B" w:rsidRDefault="00D56BFA" w:rsidP="00D56BFA">
      <w:pPr>
        <w:pStyle w:val="TableNote"/>
        <w:tabs>
          <w:tab w:val="left" w:pos="5400"/>
        </w:tabs>
        <w:ind w:left="720" w:hanging="720"/>
        <w:rPr>
          <w:sz w:val="20"/>
        </w:rPr>
      </w:pPr>
      <w:r w:rsidRPr="0035263B">
        <w:rPr>
          <w:sz w:val="20"/>
        </w:rPr>
        <w:t xml:space="preserve"> </w:t>
      </w:r>
      <w:r w:rsidRPr="0035263B">
        <w:rPr>
          <w:sz w:val="20"/>
        </w:rPr>
        <w:tab/>
      </w:r>
      <w:r w:rsidR="00D37AAB" w:rsidRPr="0035263B">
        <w:rPr>
          <w:sz w:val="20"/>
        </w:rPr>
        <w:t xml:space="preserve">B) </w:t>
      </w:r>
      <w:r w:rsidR="00390E2A" w:rsidRPr="0035263B">
        <w:rPr>
          <w:sz w:val="20"/>
        </w:rPr>
        <w:t>“We report the frequency of selected diseases identified overseas and assess differences in selected conditions between SIV children from Iraq and Afghanistan.”</w:t>
      </w:r>
    </w:p>
    <w:p w14:paraId="3BA36639" w14:textId="77777777" w:rsidR="00BB5C02" w:rsidRPr="0035263B" w:rsidRDefault="00BB5C02" w:rsidP="00D56BFA">
      <w:pPr>
        <w:pStyle w:val="TableNote"/>
        <w:tabs>
          <w:tab w:val="left" w:pos="5400"/>
        </w:tabs>
        <w:ind w:left="720" w:hanging="720"/>
        <w:rPr>
          <w:sz w:val="20"/>
        </w:rPr>
      </w:pPr>
    </w:p>
    <w:p w14:paraId="5094804D" w14:textId="28DE6B74" w:rsidR="0047331B" w:rsidRPr="0035263B" w:rsidRDefault="00BB5C02" w:rsidP="00D56BFA">
      <w:pPr>
        <w:pStyle w:val="TableNote"/>
        <w:tabs>
          <w:tab w:val="left" w:pos="5400"/>
        </w:tabs>
        <w:ind w:left="720" w:hanging="720"/>
        <w:rPr>
          <w:sz w:val="20"/>
        </w:rPr>
      </w:pPr>
      <w:r w:rsidRPr="0035263B">
        <w:rPr>
          <w:sz w:val="20"/>
        </w:rPr>
        <w:tab/>
      </w:r>
      <w:r w:rsidR="00D56BFA" w:rsidRPr="0035263B">
        <w:rPr>
          <w:sz w:val="20"/>
        </w:rPr>
        <w:t>See abstract</w:t>
      </w:r>
      <w:r w:rsidR="0047331B" w:rsidRPr="0035263B">
        <w:rPr>
          <w:sz w:val="20"/>
        </w:rPr>
        <w:tab/>
      </w:r>
    </w:p>
    <w:p w14:paraId="1BF06B27" w14:textId="77777777" w:rsidR="00E04103" w:rsidRPr="0035263B" w:rsidRDefault="00E04103" w:rsidP="002602FB">
      <w:pPr>
        <w:pStyle w:val="TableNote"/>
        <w:tabs>
          <w:tab w:val="left" w:pos="5400"/>
        </w:tabs>
        <w:rPr>
          <w:sz w:val="20"/>
        </w:rPr>
      </w:pPr>
    </w:p>
    <w:p w14:paraId="727CC5BB" w14:textId="58C26C8E" w:rsidR="00F8414A" w:rsidRPr="0035263B" w:rsidRDefault="00D37AAB" w:rsidP="0047331B">
      <w:pPr>
        <w:pStyle w:val="TableNote"/>
        <w:tabs>
          <w:tab w:val="left" w:pos="5400"/>
        </w:tabs>
        <w:ind w:left="720" w:hanging="720"/>
        <w:rPr>
          <w:sz w:val="20"/>
        </w:rPr>
      </w:pPr>
      <w:r w:rsidRPr="0035263B">
        <w:rPr>
          <w:sz w:val="20"/>
        </w:rPr>
        <w:t>2</w:t>
      </w:r>
      <w:r w:rsidR="00D46909" w:rsidRPr="0035263B">
        <w:rPr>
          <w:sz w:val="20"/>
        </w:rPr>
        <w:t xml:space="preserve"> </w:t>
      </w:r>
      <w:r w:rsidR="0047331B" w:rsidRPr="0035263B">
        <w:rPr>
          <w:sz w:val="20"/>
        </w:rPr>
        <w:tab/>
      </w:r>
      <w:r w:rsidR="00D46909" w:rsidRPr="0035263B">
        <w:rPr>
          <w:sz w:val="20"/>
        </w:rPr>
        <w:t>“</w:t>
      </w:r>
      <w:r w:rsidR="00390E2A" w:rsidRPr="0035263B">
        <w:rPr>
          <w:sz w:val="20"/>
        </w:rPr>
        <w:t>Despite the increase in SIV admissions to the United States over recent years, little is known about health conditions in SIV children. Increasing provider knowledge regarding common health conditions in SIV children may facilitate improved care upon arrival to the United States.”</w:t>
      </w:r>
    </w:p>
    <w:p w14:paraId="7591CA3F" w14:textId="77777777" w:rsidR="00E04103" w:rsidRPr="0035263B" w:rsidRDefault="00E04103" w:rsidP="002602FB">
      <w:pPr>
        <w:pStyle w:val="TableNote"/>
        <w:tabs>
          <w:tab w:val="left" w:pos="5400"/>
        </w:tabs>
        <w:rPr>
          <w:sz w:val="20"/>
        </w:rPr>
      </w:pPr>
    </w:p>
    <w:p w14:paraId="0697ECC6" w14:textId="5C5CE8E6" w:rsidR="00F8414A" w:rsidRPr="0035263B" w:rsidRDefault="00D37AAB" w:rsidP="00FA7EF9">
      <w:pPr>
        <w:pStyle w:val="TableNote"/>
        <w:tabs>
          <w:tab w:val="left" w:pos="5400"/>
        </w:tabs>
        <w:spacing w:line="240" w:lineRule="auto"/>
        <w:ind w:left="720" w:hanging="720"/>
        <w:rPr>
          <w:sz w:val="20"/>
        </w:rPr>
      </w:pPr>
      <w:r w:rsidRPr="0035263B">
        <w:rPr>
          <w:sz w:val="20"/>
        </w:rPr>
        <w:t>3</w:t>
      </w:r>
      <w:r w:rsidR="00D46909" w:rsidRPr="0035263B">
        <w:rPr>
          <w:sz w:val="20"/>
        </w:rPr>
        <w:t xml:space="preserve"> </w:t>
      </w:r>
      <w:r w:rsidR="0047331B" w:rsidRPr="0035263B">
        <w:rPr>
          <w:sz w:val="20"/>
        </w:rPr>
        <w:tab/>
      </w:r>
      <w:r w:rsidR="00D46909" w:rsidRPr="0035263B">
        <w:rPr>
          <w:sz w:val="20"/>
        </w:rPr>
        <w:t>“</w:t>
      </w:r>
      <w:r w:rsidR="00390E2A" w:rsidRPr="0035263B">
        <w:rPr>
          <w:sz w:val="20"/>
        </w:rPr>
        <w:t xml:space="preserve">We report the frequency of selected diseases identified overseas and assess differences in selected conditions between SIV children from Iraq and Afghanistan.”   </w:t>
      </w:r>
    </w:p>
    <w:p w14:paraId="1F424D92" w14:textId="77777777" w:rsidR="00D37AAB" w:rsidRPr="0035263B" w:rsidRDefault="00D37AAB" w:rsidP="00FA7EF9">
      <w:pPr>
        <w:pStyle w:val="TableNote"/>
        <w:tabs>
          <w:tab w:val="left" w:pos="5400"/>
        </w:tabs>
        <w:spacing w:line="240" w:lineRule="auto"/>
        <w:ind w:left="720" w:hanging="720"/>
        <w:rPr>
          <w:sz w:val="20"/>
        </w:rPr>
      </w:pPr>
    </w:p>
    <w:p w14:paraId="2DED8A97" w14:textId="53DB249E" w:rsidR="00D37AAB" w:rsidRPr="0035263B" w:rsidRDefault="00D37AAB" w:rsidP="00482F31">
      <w:pPr>
        <w:pStyle w:val="TableNote"/>
        <w:tabs>
          <w:tab w:val="left" w:pos="5400"/>
        </w:tabs>
        <w:spacing w:line="240" w:lineRule="auto"/>
        <w:ind w:left="720" w:hanging="720"/>
        <w:rPr>
          <w:sz w:val="20"/>
        </w:rPr>
      </w:pPr>
      <w:r w:rsidRPr="0035263B">
        <w:rPr>
          <w:sz w:val="20"/>
        </w:rPr>
        <w:t xml:space="preserve">4 </w:t>
      </w:r>
      <w:r w:rsidRPr="0035263B">
        <w:rPr>
          <w:sz w:val="20"/>
        </w:rPr>
        <w:tab/>
      </w:r>
      <w:r w:rsidR="00C01FAD" w:rsidRPr="0035263B">
        <w:rPr>
          <w:sz w:val="20"/>
        </w:rPr>
        <w:t>“</w:t>
      </w:r>
      <w:r w:rsidR="00325ADC" w:rsidRPr="0035263B">
        <w:rPr>
          <w:sz w:val="20"/>
        </w:rPr>
        <w:t xml:space="preserve">Iraqi and Afghan SIV children (&lt;18 years) admitted to the United States from April 2009 through December 2017 were included. EDN and the US Department of State’s </w:t>
      </w:r>
      <w:r w:rsidR="00325ADC" w:rsidRPr="0035263B">
        <w:rPr>
          <w:sz w:val="20"/>
          <w:lang w:val="en"/>
        </w:rPr>
        <w:t xml:space="preserve">Worldwide Refugee Admissions Processing System (WRAPS) </w:t>
      </w:r>
      <w:r w:rsidR="00325ADC" w:rsidRPr="0035263B">
        <w:rPr>
          <w:sz w:val="20"/>
        </w:rPr>
        <w:t>were used as data sources in this cross-sectional analysis [1, 4].”</w:t>
      </w:r>
    </w:p>
    <w:p w14:paraId="6FB65E2B" w14:textId="77777777" w:rsidR="00E04103" w:rsidRPr="0035263B" w:rsidRDefault="00E04103" w:rsidP="00FA7EF9">
      <w:pPr>
        <w:pStyle w:val="TableNote"/>
        <w:tabs>
          <w:tab w:val="left" w:pos="5400"/>
        </w:tabs>
        <w:spacing w:line="240" w:lineRule="auto"/>
        <w:rPr>
          <w:sz w:val="20"/>
        </w:rPr>
      </w:pPr>
    </w:p>
    <w:p w14:paraId="39F5D996" w14:textId="382CE5DB" w:rsidR="00F8414A" w:rsidRPr="0035263B" w:rsidRDefault="00F8414A" w:rsidP="00FA7EF9">
      <w:pPr>
        <w:pStyle w:val="TableNote"/>
        <w:tabs>
          <w:tab w:val="left" w:pos="5400"/>
        </w:tabs>
        <w:spacing w:line="240" w:lineRule="auto"/>
        <w:ind w:left="720" w:hanging="720"/>
        <w:rPr>
          <w:sz w:val="20"/>
        </w:rPr>
      </w:pPr>
      <w:r w:rsidRPr="0035263B">
        <w:rPr>
          <w:sz w:val="20"/>
        </w:rPr>
        <w:t>5</w:t>
      </w:r>
      <w:r w:rsidR="00D46909" w:rsidRPr="0035263B">
        <w:rPr>
          <w:sz w:val="20"/>
        </w:rPr>
        <w:t xml:space="preserve"> </w:t>
      </w:r>
      <w:r w:rsidR="0047331B" w:rsidRPr="0035263B">
        <w:rPr>
          <w:sz w:val="20"/>
        </w:rPr>
        <w:tab/>
      </w:r>
      <w:r w:rsidR="00325ADC" w:rsidRPr="0035263B">
        <w:rPr>
          <w:sz w:val="20"/>
        </w:rPr>
        <w:t xml:space="preserve">“Iraqi and Afghan SIV children (&lt;18 years) admitted to the United States from April 2009 through December 2017 were included. EDN and the US Department of State’s </w:t>
      </w:r>
      <w:r w:rsidR="00325ADC" w:rsidRPr="0035263B">
        <w:rPr>
          <w:sz w:val="20"/>
          <w:lang w:val="en"/>
        </w:rPr>
        <w:t xml:space="preserve">Worldwide Refugee Admissions Processing System (WRAPS) </w:t>
      </w:r>
      <w:r w:rsidR="00325ADC" w:rsidRPr="0035263B">
        <w:rPr>
          <w:sz w:val="20"/>
        </w:rPr>
        <w:t>were used as data sources in this cross-sectional analysis [1, 4].”</w:t>
      </w:r>
    </w:p>
    <w:p w14:paraId="4C50F129" w14:textId="77777777" w:rsidR="00E04103" w:rsidRPr="0035263B" w:rsidRDefault="00E04103" w:rsidP="00FA7EF9">
      <w:pPr>
        <w:pStyle w:val="TableNote"/>
        <w:tabs>
          <w:tab w:val="left" w:pos="5400"/>
        </w:tabs>
        <w:spacing w:line="240" w:lineRule="auto"/>
        <w:rPr>
          <w:sz w:val="20"/>
        </w:rPr>
      </w:pPr>
    </w:p>
    <w:p w14:paraId="5346D3DE" w14:textId="3613ADD5" w:rsidR="00D46909" w:rsidRPr="0035263B" w:rsidRDefault="00F8414A" w:rsidP="00FA7EF9">
      <w:pPr>
        <w:pStyle w:val="TableNote"/>
        <w:tabs>
          <w:tab w:val="left" w:pos="5400"/>
        </w:tabs>
        <w:spacing w:line="240" w:lineRule="auto"/>
        <w:ind w:left="720" w:hanging="720"/>
        <w:rPr>
          <w:sz w:val="20"/>
        </w:rPr>
      </w:pPr>
      <w:r w:rsidRPr="0035263B">
        <w:rPr>
          <w:sz w:val="20"/>
        </w:rPr>
        <w:t>6</w:t>
      </w:r>
      <w:r w:rsidR="00D46909" w:rsidRPr="0035263B">
        <w:rPr>
          <w:sz w:val="20"/>
        </w:rPr>
        <w:t xml:space="preserve"> </w:t>
      </w:r>
      <w:r w:rsidR="0047331B" w:rsidRPr="0035263B">
        <w:rPr>
          <w:sz w:val="20"/>
        </w:rPr>
        <w:tab/>
      </w:r>
      <w:r w:rsidR="00325ADC" w:rsidRPr="0035263B">
        <w:rPr>
          <w:sz w:val="20"/>
        </w:rPr>
        <w:t xml:space="preserve">“Iraqi and Afghan SIV children (&lt;18 years) admitted to the United States from April 2009 through December 2017 were included. EDN and the US Department of State’s </w:t>
      </w:r>
      <w:r w:rsidR="00325ADC" w:rsidRPr="0035263B">
        <w:rPr>
          <w:sz w:val="20"/>
          <w:lang w:val="en"/>
        </w:rPr>
        <w:t xml:space="preserve">Worldwide Refugee Admissions Processing System (WRAPS) </w:t>
      </w:r>
      <w:r w:rsidR="00325ADC" w:rsidRPr="0035263B">
        <w:rPr>
          <w:sz w:val="20"/>
        </w:rPr>
        <w:t>were used as data sources in this cross-sectional analysis [1, 4].”</w:t>
      </w:r>
    </w:p>
    <w:p w14:paraId="4253F967" w14:textId="77777777" w:rsidR="00E04103" w:rsidRPr="0035263B" w:rsidRDefault="00E04103" w:rsidP="00FA7EF9">
      <w:pPr>
        <w:pStyle w:val="TableNote"/>
        <w:tabs>
          <w:tab w:val="left" w:pos="5400"/>
        </w:tabs>
        <w:spacing w:line="240" w:lineRule="auto"/>
        <w:rPr>
          <w:sz w:val="20"/>
        </w:rPr>
      </w:pPr>
    </w:p>
    <w:p w14:paraId="14E2A956" w14:textId="780FC335" w:rsidR="00325ADC" w:rsidRPr="0035263B" w:rsidRDefault="00F8414A" w:rsidP="00325ADC">
      <w:pPr>
        <w:autoSpaceDE w:val="0"/>
        <w:autoSpaceDN w:val="0"/>
        <w:adjustRightInd w:val="0"/>
        <w:spacing w:line="240" w:lineRule="auto"/>
        <w:ind w:left="720" w:hanging="720"/>
        <w:rPr>
          <w:spacing w:val="1"/>
          <w:sz w:val="20"/>
        </w:rPr>
      </w:pPr>
      <w:r w:rsidRPr="0035263B">
        <w:rPr>
          <w:sz w:val="20"/>
        </w:rPr>
        <w:t>7</w:t>
      </w:r>
      <w:r w:rsidR="0047331B" w:rsidRPr="0035263B">
        <w:rPr>
          <w:sz w:val="20"/>
        </w:rPr>
        <w:t xml:space="preserve"> </w:t>
      </w:r>
      <w:r w:rsidR="0047331B" w:rsidRPr="0035263B">
        <w:rPr>
          <w:sz w:val="20"/>
        </w:rPr>
        <w:tab/>
      </w:r>
      <w:r w:rsidR="00BB5C02" w:rsidRPr="0035263B">
        <w:rPr>
          <w:sz w:val="20"/>
        </w:rPr>
        <w:t>“</w:t>
      </w:r>
      <w:r w:rsidR="00325ADC" w:rsidRPr="0035263B">
        <w:rPr>
          <w:sz w:val="20"/>
        </w:rPr>
        <w:t xml:space="preserve">EDN variables included age, sex, measured height and weight, and results of the overseas medical examination while information about native language was obtained from WRAPS. </w:t>
      </w:r>
      <w:r w:rsidR="00325ADC" w:rsidRPr="0035263B">
        <w:rPr>
          <w:spacing w:val="1"/>
          <w:sz w:val="20"/>
        </w:rPr>
        <w:t>Presence of non-communicable diseases was self-reported, and categorized as either “yes” or “no”.”</w:t>
      </w:r>
    </w:p>
    <w:p w14:paraId="56D35806" w14:textId="56870E26" w:rsidR="00BB5C02" w:rsidRPr="0035263B" w:rsidRDefault="00BB5C02" w:rsidP="00325ADC">
      <w:pPr>
        <w:autoSpaceDE w:val="0"/>
        <w:autoSpaceDN w:val="0"/>
        <w:adjustRightInd w:val="0"/>
        <w:spacing w:line="240" w:lineRule="auto"/>
        <w:ind w:left="720" w:hanging="720"/>
        <w:rPr>
          <w:sz w:val="20"/>
        </w:rPr>
      </w:pPr>
    </w:p>
    <w:p w14:paraId="599639E5" w14:textId="2742C8D5" w:rsidR="00BB5C02" w:rsidRPr="0035263B" w:rsidRDefault="00BB5C02" w:rsidP="00FA7EF9">
      <w:pPr>
        <w:autoSpaceDE w:val="0"/>
        <w:autoSpaceDN w:val="0"/>
        <w:adjustRightInd w:val="0"/>
        <w:spacing w:line="240" w:lineRule="auto"/>
        <w:ind w:left="720" w:hanging="720"/>
        <w:rPr>
          <w:sz w:val="20"/>
        </w:rPr>
      </w:pPr>
      <w:r w:rsidRPr="0035263B">
        <w:rPr>
          <w:sz w:val="20"/>
        </w:rPr>
        <w:tab/>
        <w:t xml:space="preserve">Other diagnostic criteria noted in Table 2. </w:t>
      </w:r>
    </w:p>
    <w:p w14:paraId="0388FE09" w14:textId="77777777" w:rsidR="00E04103" w:rsidRPr="0035263B" w:rsidRDefault="00E04103" w:rsidP="00FA7EF9">
      <w:pPr>
        <w:pStyle w:val="TableNote"/>
        <w:tabs>
          <w:tab w:val="left" w:pos="5400"/>
        </w:tabs>
        <w:spacing w:line="240" w:lineRule="auto"/>
        <w:rPr>
          <w:sz w:val="20"/>
        </w:rPr>
      </w:pPr>
    </w:p>
    <w:p w14:paraId="0702BF3A" w14:textId="625A9089" w:rsidR="00482F31" w:rsidRPr="0035263B" w:rsidRDefault="00F8414A" w:rsidP="00FA7EF9">
      <w:pPr>
        <w:autoSpaceDE w:val="0"/>
        <w:autoSpaceDN w:val="0"/>
        <w:adjustRightInd w:val="0"/>
        <w:spacing w:line="240" w:lineRule="auto"/>
        <w:ind w:left="720" w:hanging="720"/>
        <w:rPr>
          <w:sz w:val="20"/>
        </w:rPr>
      </w:pPr>
      <w:r w:rsidRPr="0035263B">
        <w:rPr>
          <w:sz w:val="20"/>
        </w:rPr>
        <w:t>8</w:t>
      </w:r>
      <w:r w:rsidR="009B4038" w:rsidRPr="0035263B">
        <w:rPr>
          <w:sz w:val="20"/>
        </w:rPr>
        <w:tab/>
      </w:r>
      <w:r w:rsidR="00482F31" w:rsidRPr="0035263B">
        <w:rPr>
          <w:sz w:val="20"/>
        </w:rPr>
        <w:t>“</w:t>
      </w:r>
      <w:r w:rsidR="00206BF9" w:rsidRPr="0035263B">
        <w:rPr>
          <w:sz w:val="20"/>
        </w:rPr>
        <w:t xml:space="preserve">EDN and the US Department of State’s </w:t>
      </w:r>
      <w:r w:rsidR="00206BF9" w:rsidRPr="0035263B">
        <w:rPr>
          <w:sz w:val="20"/>
          <w:lang w:val="en"/>
        </w:rPr>
        <w:t xml:space="preserve">Worldwide Refugee Admissions Processing System (WRAPS) </w:t>
      </w:r>
      <w:r w:rsidR="00206BF9" w:rsidRPr="0035263B">
        <w:rPr>
          <w:sz w:val="20"/>
        </w:rPr>
        <w:t>were used as data sources in this cross-sectional analysis [1, 4].”</w:t>
      </w:r>
    </w:p>
    <w:p w14:paraId="475D377D" w14:textId="49F2425E" w:rsidR="00BB5C02" w:rsidRPr="0035263B" w:rsidRDefault="00BB5C02" w:rsidP="00BB5C02">
      <w:pPr>
        <w:autoSpaceDE w:val="0"/>
        <w:autoSpaceDN w:val="0"/>
        <w:adjustRightInd w:val="0"/>
        <w:spacing w:line="240" w:lineRule="auto"/>
        <w:rPr>
          <w:sz w:val="20"/>
        </w:rPr>
      </w:pPr>
    </w:p>
    <w:p w14:paraId="6B9485DE" w14:textId="77777777" w:rsidR="00144E4A" w:rsidRPr="0035263B" w:rsidRDefault="00144E4A" w:rsidP="00144E4A">
      <w:pPr>
        <w:autoSpaceDE w:val="0"/>
        <w:autoSpaceDN w:val="0"/>
        <w:adjustRightInd w:val="0"/>
        <w:spacing w:line="240" w:lineRule="auto"/>
        <w:ind w:left="720"/>
        <w:rPr>
          <w:spacing w:val="1"/>
          <w:sz w:val="20"/>
        </w:rPr>
      </w:pPr>
      <w:r w:rsidRPr="0035263B">
        <w:rPr>
          <w:sz w:val="20"/>
        </w:rPr>
        <w:t xml:space="preserve">“EDN variables included age, sex, measured height and weight, and results of the overseas medical examination while information about native language was obtained from WRAPS. </w:t>
      </w:r>
      <w:bookmarkStart w:id="94" w:name="_GoBack"/>
      <w:r w:rsidRPr="0035263B">
        <w:rPr>
          <w:spacing w:val="1"/>
          <w:sz w:val="20"/>
        </w:rPr>
        <w:t>Pre</w:t>
      </w:r>
      <w:bookmarkEnd w:id="94"/>
      <w:r w:rsidRPr="0035263B">
        <w:rPr>
          <w:spacing w:val="1"/>
          <w:sz w:val="20"/>
        </w:rPr>
        <w:t>sence of non-communicable diseases was self-reported, and categorized as either “yes” or “no”.”</w:t>
      </w:r>
    </w:p>
    <w:p w14:paraId="2AFE628E" w14:textId="77777777" w:rsidR="00482F31" w:rsidRPr="0035263B" w:rsidRDefault="00482F31" w:rsidP="00206BF9">
      <w:pPr>
        <w:autoSpaceDE w:val="0"/>
        <w:autoSpaceDN w:val="0"/>
        <w:adjustRightInd w:val="0"/>
        <w:spacing w:line="240" w:lineRule="auto"/>
        <w:rPr>
          <w:sz w:val="20"/>
        </w:rPr>
      </w:pPr>
    </w:p>
    <w:p w14:paraId="68B0200F" w14:textId="57EA5F63" w:rsidR="00E04103" w:rsidRPr="00514268" w:rsidRDefault="00206BF9" w:rsidP="006575B9">
      <w:pPr>
        <w:autoSpaceDE w:val="0"/>
        <w:autoSpaceDN w:val="0"/>
        <w:adjustRightInd w:val="0"/>
        <w:spacing w:line="240" w:lineRule="auto"/>
        <w:ind w:left="720"/>
        <w:rPr>
          <w:sz w:val="20"/>
        </w:rPr>
      </w:pPr>
      <w:r w:rsidRPr="00514268">
        <w:rPr>
          <w:spacing w:val="1"/>
          <w:sz w:val="20"/>
        </w:rPr>
        <w:t>“</w:t>
      </w:r>
      <w:bookmarkStart w:id="95" w:name="_Hlk31808288"/>
      <w:r w:rsidR="00514268">
        <w:rPr>
          <w:spacing w:val="1"/>
          <w:sz w:val="20"/>
        </w:rPr>
        <w:t>T</w:t>
      </w:r>
      <w:r w:rsidR="00514268" w:rsidRPr="00514268">
        <w:rPr>
          <w:sz w:val="20"/>
        </w:rPr>
        <w:t>his analysis was not guided by a specific prospective analysis plan</w:t>
      </w:r>
      <w:r w:rsidR="00514268">
        <w:rPr>
          <w:sz w:val="20"/>
        </w:rPr>
        <w:t>.  F</w:t>
      </w:r>
      <w:bookmarkEnd w:id="95"/>
      <w:r w:rsidRPr="00514268">
        <w:rPr>
          <w:spacing w:val="1"/>
          <w:sz w:val="20"/>
        </w:rPr>
        <w:t>requencies were calculated to describe demographic characteristics and disease prevalence.”</w:t>
      </w:r>
      <w:r w:rsidR="009B4038" w:rsidRPr="00514268">
        <w:rPr>
          <w:sz w:val="20"/>
        </w:rPr>
        <w:tab/>
      </w:r>
    </w:p>
    <w:p w14:paraId="4B88ABA2" w14:textId="77777777" w:rsidR="00E04103" w:rsidRPr="0035263B" w:rsidRDefault="00E04103" w:rsidP="00FA7EF9">
      <w:pPr>
        <w:pStyle w:val="TableNote"/>
        <w:tabs>
          <w:tab w:val="left" w:pos="5400"/>
        </w:tabs>
        <w:spacing w:line="240" w:lineRule="auto"/>
        <w:rPr>
          <w:sz w:val="20"/>
        </w:rPr>
      </w:pPr>
    </w:p>
    <w:p w14:paraId="4EDC287D" w14:textId="1BD34FF2" w:rsidR="009764D5" w:rsidRPr="0035263B" w:rsidRDefault="00F8414A" w:rsidP="009764D5">
      <w:pPr>
        <w:autoSpaceDE w:val="0"/>
        <w:autoSpaceDN w:val="0"/>
        <w:adjustRightInd w:val="0"/>
        <w:spacing w:line="240" w:lineRule="auto"/>
        <w:ind w:left="720" w:hanging="720"/>
        <w:rPr>
          <w:sz w:val="20"/>
        </w:rPr>
      </w:pPr>
      <w:r w:rsidRPr="0035263B">
        <w:rPr>
          <w:sz w:val="20"/>
        </w:rPr>
        <w:t>10</w:t>
      </w:r>
      <w:r w:rsidR="009B4038" w:rsidRPr="0035263B">
        <w:rPr>
          <w:sz w:val="20"/>
        </w:rPr>
        <w:t xml:space="preserve"> </w:t>
      </w:r>
      <w:r w:rsidR="000519F1" w:rsidRPr="0035263B">
        <w:rPr>
          <w:sz w:val="20"/>
        </w:rPr>
        <w:tab/>
      </w:r>
      <w:r w:rsidR="00404566" w:rsidRPr="0035263B">
        <w:rPr>
          <w:sz w:val="20"/>
        </w:rPr>
        <w:t>“</w:t>
      </w:r>
      <w:r w:rsidR="009764D5" w:rsidRPr="0035263B">
        <w:rPr>
          <w:sz w:val="20"/>
        </w:rPr>
        <w:t xml:space="preserve">Iraqi and Afghan SIV children (&lt;18 years) admitted to the United States from April 2009 through December 2017 were included. EDN and the US Department of State’s </w:t>
      </w:r>
      <w:r w:rsidR="009764D5" w:rsidRPr="0035263B">
        <w:rPr>
          <w:sz w:val="20"/>
          <w:lang w:val="en"/>
        </w:rPr>
        <w:t xml:space="preserve">Worldwide Refugee Admissions Processing System (WRAPS) </w:t>
      </w:r>
      <w:r w:rsidR="009764D5" w:rsidRPr="0035263B">
        <w:rPr>
          <w:sz w:val="20"/>
        </w:rPr>
        <w:t>were used as data sources in this cross-sectional analysis [1, 4]. We identified 15,729 SIV children &lt; 18 years of age.”</w:t>
      </w:r>
    </w:p>
    <w:p w14:paraId="46F39850" w14:textId="1EFC900A" w:rsidR="00E04103" w:rsidRPr="0035263B" w:rsidRDefault="00E04103" w:rsidP="009764D5">
      <w:pPr>
        <w:pStyle w:val="TableNote"/>
        <w:tabs>
          <w:tab w:val="left" w:pos="5400"/>
        </w:tabs>
        <w:spacing w:line="240" w:lineRule="auto"/>
        <w:rPr>
          <w:sz w:val="20"/>
        </w:rPr>
      </w:pPr>
    </w:p>
    <w:p w14:paraId="5114CF2A" w14:textId="2F2C28AD" w:rsidR="009764D5" w:rsidRPr="0035263B" w:rsidRDefault="00F8414A" w:rsidP="00FA7EF9">
      <w:pPr>
        <w:pStyle w:val="TableNote"/>
        <w:tabs>
          <w:tab w:val="left" w:pos="5400"/>
        </w:tabs>
        <w:spacing w:line="240" w:lineRule="auto"/>
        <w:ind w:left="720" w:hanging="720"/>
        <w:rPr>
          <w:spacing w:val="1"/>
          <w:sz w:val="20"/>
        </w:rPr>
      </w:pPr>
      <w:r w:rsidRPr="0035263B">
        <w:rPr>
          <w:sz w:val="20"/>
        </w:rPr>
        <w:t>11</w:t>
      </w:r>
      <w:r w:rsidR="0058569C" w:rsidRPr="0035263B">
        <w:rPr>
          <w:spacing w:val="1"/>
          <w:sz w:val="20"/>
        </w:rPr>
        <w:t xml:space="preserve"> </w:t>
      </w:r>
      <w:r w:rsidR="0058569C" w:rsidRPr="0035263B">
        <w:rPr>
          <w:spacing w:val="1"/>
          <w:sz w:val="20"/>
        </w:rPr>
        <w:tab/>
      </w:r>
      <w:r w:rsidR="009764D5" w:rsidRPr="0035263B">
        <w:rPr>
          <w:spacing w:val="1"/>
          <w:sz w:val="20"/>
        </w:rPr>
        <w:t>“</w:t>
      </w:r>
      <w:r w:rsidR="00514268">
        <w:rPr>
          <w:spacing w:val="1"/>
          <w:sz w:val="20"/>
        </w:rPr>
        <w:t>T</w:t>
      </w:r>
      <w:r w:rsidR="00514268" w:rsidRPr="00514268">
        <w:rPr>
          <w:sz w:val="20"/>
        </w:rPr>
        <w:t>his analysis was not guided by a specific prospective analysis plan</w:t>
      </w:r>
      <w:r w:rsidR="00514268">
        <w:rPr>
          <w:sz w:val="20"/>
        </w:rPr>
        <w:t xml:space="preserve">.  </w:t>
      </w:r>
      <w:r w:rsidR="00514268">
        <w:rPr>
          <w:sz w:val="20"/>
        </w:rPr>
        <w:t>F</w:t>
      </w:r>
      <w:r w:rsidR="00514268" w:rsidRPr="00514268">
        <w:rPr>
          <w:spacing w:val="1"/>
          <w:sz w:val="20"/>
        </w:rPr>
        <w:t>requencies were calculated to describe demographic characteristics and disease prevalence.</w:t>
      </w:r>
      <w:r w:rsidR="009764D5" w:rsidRPr="0035263B">
        <w:rPr>
          <w:spacing w:val="1"/>
          <w:sz w:val="20"/>
        </w:rPr>
        <w:t>”</w:t>
      </w:r>
    </w:p>
    <w:p w14:paraId="3C9006B0" w14:textId="77777777" w:rsidR="009764D5" w:rsidRPr="0035263B" w:rsidRDefault="009764D5" w:rsidP="00FA7EF9">
      <w:pPr>
        <w:pStyle w:val="TableNote"/>
        <w:tabs>
          <w:tab w:val="left" w:pos="5400"/>
        </w:tabs>
        <w:spacing w:line="240" w:lineRule="auto"/>
        <w:ind w:left="720" w:hanging="720"/>
        <w:rPr>
          <w:spacing w:val="1"/>
          <w:sz w:val="20"/>
        </w:rPr>
      </w:pPr>
      <w:r w:rsidRPr="0035263B">
        <w:rPr>
          <w:spacing w:val="1"/>
          <w:sz w:val="20"/>
        </w:rPr>
        <w:tab/>
      </w:r>
    </w:p>
    <w:p w14:paraId="1D51330C" w14:textId="7C5D6BBF" w:rsidR="00F8414A" w:rsidRPr="0035263B" w:rsidRDefault="009764D5" w:rsidP="00FA7EF9">
      <w:pPr>
        <w:pStyle w:val="TableNote"/>
        <w:tabs>
          <w:tab w:val="left" w:pos="5400"/>
        </w:tabs>
        <w:spacing w:line="240" w:lineRule="auto"/>
        <w:ind w:left="720" w:hanging="720"/>
        <w:rPr>
          <w:spacing w:val="1"/>
          <w:sz w:val="20"/>
        </w:rPr>
      </w:pPr>
      <w:r w:rsidRPr="0035263B">
        <w:rPr>
          <w:spacing w:val="1"/>
          <w:sz w:val="20"/>
        </w:rPr>
        <w:tab/>
      </w:r>
      <w:r w:rsidR="0058569C" w:rsidRPr="0035263B">
        <w:rPr>
          <w:spacing w:val="1"/>
          <w:sz w:val="20"/>
        </w:rPr>
        <w:t>“</w:t>
      </w:r>
      <w:r w:rsidR="00404566" w:rsidRPr="0035263B">
        <w:rPr>
          <w:spacing w:val="1"/>
          <w:sz w:val="20"/>
        </w:rPr>
        <w:t>Mean z-scores and standard deviations (SD) were calculated for weight-for-height (if &lt;5 years), body mass index (BMI)-for-age (if ≥5 years), and height-for-age (all ages) using the World Health Organization’s Statistical Analysis Software macros [5, 6].”</w:t>
      </w:r>
    </w:p>
    <w:p w14:paraId="1898B867" w14:textId="4A0BA178" w:rsidR="00E04103" w:rsidRPr="0035263B" w:rsidRDefault="00E04103" w:rsidP="0035263B">
      <w:pPr>
        <w:pStyle w:val="TableNote"/>
        <w:tabs>
          <w:tab w:val="left" w:pos="5400"/>
        </w:tabs>
        <w:spacing w:line="240" w:lineRule="auto"/>
        <w:rPr>
          <w:sz w:val="20"/>
        </w:rPr>
      </w:pPr>
    </w:p>
    <w:p w14:paraId="5420D330" w14:textId="725BE3AE" w:rsidR="00F87029" w:rsidRPr="0035263B" w:rsidRDefault="00F8414A" w:rsidP="00F87029">
      <w:pPr>
        <w:pStyle w:val="TableNote"/>
        <w:tabs>
          <w:tab w:val="left" w:pos="5400"/>
        </w:tabs>
        <w:spacing w:line="240" w:lineRule="auto"/>
        <w:ind w:left="720" w:hanging="720"/>
        <w:rPr>
          <w:sz w:val="20"/>
        </w:rPr>
      </w:pPr>
      <w:r w:rsidRPr="0035263B">
        <w:rPr>
          <w:sz w:val="20"/>
        </w:rPr>
        <w:t>12</w:t>
      </w:r>
      <w:r w:rsidR="00AC20E6" w:rsidRPr="0035263B">
        <w:rPr>
          <w:spacing w:val="1"/>
          <w:sz w:val="20"/>
        </w:rPr>
        <w:t xml:space="preserve"> </w:t>
      </w:r>
      <w:r w:rsidR="00AC20E6" w:rsidRPr="0035263B">
        <w:rPr>
          <w:spacing w:val="1"/>
          <w:sz w:val="20"/>
        </w:rPr>
        <w:tab/>
        <w:t xml:space="preserve">A) </w:t>
      </w:r>
      <w:r w:rsidR="008113D5" w:rsidRPr="0035263B">
        <w:rPr>
          <w:spacing w:val="1"/>
          <w:sz w:val="20"/>
        </w:rPr>
        <w:t>“</w:t>
      </w:r>
      <w:r w:rsidR="00514268">
        <w:rPr>
          <w:spacing w:val="1"/>
          <w:sz w:val="20"/>
        </w:rPr>
        <w:t>T</w:t>
      </w:r>
      <w:r w:rsidR="00514268" w:rsidRPr="00514268">
        <w:rPr>
          <w:sz w:val="20"/>
        </w:rPr>
        <w:t xml:space="preserve">his analysis was not guided by a specific prospective analysis </w:t>
      </w:r>
      <w:proofErr w:type="gramStart"/>
      <w:r w:rsidR="00514268" w:rsidRPr="00514268">
        <w:rPr>
          <w:sz w:val="20"/>
        </w:rPr>
        <w:t>plan</w:t>
      </w:r>
      <w:r w:rsidR="00514268">
        <w:rPr>
          <w:sz w:val="20"/>
        </w:rPr>
        <w:t xml:space="preserve">  F</w:t>
      </w:r>
      <w:r w:rsidR="00514268" w:rsidRPr="00514268">
        <w:rPr>
          <w:spacing w:val="1"/>
          <w:sz w:val="20"/>
        </w:rPr>
        <w:t>requencies</w:t>
      </w:r>
      <w:proofErr w:type="gramEnd"/>
      <w:r w:rsidR="00514268" w:rsidRPr="00514268">
        <w:rPr>
          <w:spacing w:val="1"/>
          <w:sz w:val="20"/>
        </w:rPr>
        <w:t xml:space="preserve"> were calculated to describe demographic characteristics and disease prevalence.</w:t>
      </w:r>
      <w:r w:rsidR="00CB738D" w:rsidRPr="0035263B">
        <w:rPr>
          <w:spacing w:val="1"/>
          <w:sz w:val="20"/>
        </w:rPr>
        <w:t xml:space="preserve"> Mean z-scores and standard deviations (SD) </w:t>
      </w:r>
      <w:r w:rsidR="00CB738D" w:rsidRPr="0035263B">
        <w:rPr>
          <w:spacing w:val="1"/>
          <w:sz w:val="20"/>
        </w:rPr>
        <w:lastRenderedPageBreak/>
        <w:t xml:space="preserve">were calculated for weight-for-height (if &lt;5 years), body mass index (BMI)-for-age (if ≥5 years), and height-for-age (all ages) using the World Health Organization’s Statistical Analysis Software macros [5, 6]. Data quality of these anthropometric measurements was assessed using cut-off points for SD according to World Health Organization’s recommendations [7]. Multivariable logistic regression models adjusted for age and sex were used to assess associations of certain conditions </w:t>
      </w:r>
      <w:r w:rsidR="00CB738D" w:rsidRPr="0035263B">
        <w:rPr>
          <w:color w:val="000000"/>
          <w:sz w:val="20"/>
        </w:rPr>
        <w:t xml:space="preserve">with nationality. Health conditions with fewer than 10 cases were excluded from regression analyses. </w:t>
      </w:r>
      <w:r w:rsidR="00CB738D" w:rsidRPr="0035263B">
        <w:rPr>
          <w:spacing w:val="1"/>
          <w:sz w:val="20"/>
        </w:rPr>
        <w:t xml:space="preserve">Denominators used to estimate the prevalence of medical conditions varied because of missing data. </w:t>
      </w:r>
      <w:r w:rsidR="00CB738D" w:rsidRPr="0035263B">
        <w:rPr>
          <w:sz w:val="20"/>
        </w:rPr>
        <w:t>All statistical analyses were performed with SAS 9.3 (SAS Institute Inc., Cary, NC, USA).”</w:t>
      </w:r>
    </w:p>
    <w:p w14:paraId="0123A397" w14:textId="77777777" w:rsidR="008113D5" w:rsidRPr="0035263B" w:rsidRDefault="004D0FE9" w:rsidP="00FA7EF9">
      <w:pPr>
        <w:pStyle w:val="TableNote"/>
        <w:tabs>
          <w:tab w:val="left" w:pos="5400"/>
        </w:tabs>
        <w:spacing w:line="240" w:lineRule="auto"/>
        <w:ind w:left="720" w:hanging="720"/>
        <w:rPr>
          <w:sz w:val="20"/>
        </w:rPr>
      </w:pPr>
      <w:r w:rsidRPr="0035263B">
        <w:rPr>
          <w:sz w:val="20"/>
        </w:rPr>
        <w:tab/>
      </w:r>
    </w:p>
    <w:p w14:paraId="1E8D8D4D" w14:textId="6AF37265" w:rsidR="004D0FE9" w:rsidRPr="0035263B" w:rsidRDefault="008113D5" w:rsidP="00FA7EF9">
      <w:pPr>
        <w:pStyle w:val="TableNote"/>
        <w:tabs>
          <w:tab w:val="left" w:pos="5400"/>
        </w:tabs>
        <w:spacing w:line="240" w:lineRule="auto"/>
        <w:ind w:left="720" w:hanging="720"/>
        <w:rPr>
          <w:sz w:val="20"/>
        </w:rPr>
      </w:pPr>
      <w:r w:rsidRPr="0035263B">
        <w:rPr>
          <w:sz w:val="20"/>
        </w:rPr>
        <w:tab/>
      </w:r>
      <w:r w:rsidR="004D0FE9" w:rsidRPr="0035263B">
        <w:rPr>
          <w:sz w:val="20"/>
        </w:rPr>
        <w:t xml:space="preserve">B) </w:t>
      </w:r>
      <w:r w:rsidRPr="0035263B">
        <w:rPr>
          <w:sz w:val="20"/>
        </w:rPr>
        <w:t>“</w:t>
      </w:r>
      <w:r w:rsidR="00CB738D" w:rsidRPr="0035263B">
        <w:rPr>
          <w:spacing w:val="1"/>
          <w:sz w:val="20"/>
        </w:rPr>
        <w:t xml:space="preserve">Multivariable logistic regression models adjusted for age and sex were used to assess associations of certain conditions </w:t>
      </w:r>
      <w:r w:rsidR="00CB738D" w:rsidRPr="0035263B">
        <w:rPr>
          <w:color w:val="000000"/>
          <w:sz w:val="20"/>
        </w:rPr>
        <w:t>with nationality.”</w:t>
      </w:r>
    </w:p>
    <w:p w14:paraId="41CCC04D" w14:textId="77777777" w:rsidR="008113D5" w:rsidRPr="0035263B" w:rsidRDefault="004D0FE9" w:rsidP="00FA7EF9">
      <w:pPr>
        <w:pStyle w:val="TableNote"/>
        <w:tabs>
          <w:tab w:val="left" w:pos="5400"/>
        </w:tabs>
        <w:spacing w:line="240" w:lineRule="auto"/>
        <w:ind w:left="720" w:hanging="720"/>
        <w:rPr>
          <w:sz w:val="20"/>
        </w:rPr>
      </w:pPr>
      <w:r w:rsidRPr="0035263B">
        <w:rPr>
          <w:sz w:val="20"/>
        </w:rPr>
        <w:tab/>
      </w:r>
    </w:p>
    <w:p w14:paraId="43C34C1D" w14:textId="0A6F0530" w:rsidR="008113D5" w:rsidRPr="0035263B" w:rsidRDefault="008113D5" w:rsidP="006575B9">
      <w:pPr>
        <w:pStyle w:val="TableNote"/>
        <w:tabs>
          <w:tab w:val="left" w:pos="5400"/>
        </w:tabs>
        <w:spacing w:line="240" w:lineRule="auto"/>
        <w:ind w:left="720" w:hanging="720"/>
        <w:rPr>
          <w:sz w:val="20"/>
        </w:rPr>
      </w:pPr>
      <w:r w:rsidRPr="0035263B">
        <w:rPr>
          <w:sz w:val="20"/>
        </w:rPr>
        <w:tab/>
      </w:r>
      <w:r w:rsidR="004D0FE9" w:rsidRPr="0035263B">
        <w:rPr>
          <w:sz w:val="20"/>
        </w:rPr>
        <w:t>C)</w:t>
      </w:r>
      <w:r w:rsidR="00F87029" w:rsidRPr="0035263B">
        <w:rPr>
          <w:sz w:val="20"/>
        </w:rPr>
        <w:t xml:space="preserve"> “</w:t>
      </w:r>
      <w:r w:rsidR="00CB738D" w:rsidRPr="0035263B">
        <w:rPr>
          <w:spacing w:val="1"/>
          <w:sz w:val="20"/>
        </w:rPr>
        <w:t>Denominators used to estimate the prevalence of medical conditions varied because of missing data.”</w:t>
      </w:r>
    </w:p>
    <w:p w14:paraId="052DEF68" w14:textId="77777777" w:rsidR="008C2DFE" w:rsidRPr="0035263B" w:rsidRDefault="008113D5" w:rsidP="00FA7EF9">
      <w:pPr>
        <w:pStyle w:val="TableNote"/>
        <w:tabs>
          <w:tab w:val="left" w:pos="5400"/>
        </w:tabs>
        <w:spacing w:line="240" w:lineRule="auto"/>
        <w:ind w:left="720" w:hanging="720"/>
        <w:rPr>
          <w:sz w:val="20"/>
        </w:rPr>
      </w:pPr>
      <w:r w:rsidRPr="0035263B">
        <w:rPr>
          <w:sz w:val="20"/>
        </w:rPr>
        <w:tab/>
      </w:r>
    </w:p>
    <w:p w14:paraId="2A25F1E1" w14:textId="4E4614D7" w:rsidR="004D0FE9" w:rsidRPr="0035263B" w:rsidRDefault="008C2DFE" w:rsidP="00FA7EF9">
      <w:pPr>
        <w:pStyle w:val="TableNote"/>
        <w:tabs>
          <w:tab w:val="left" w:pos="5400"/>
        </w:tabs>
        <w:spacing w:line="240" w:lineRule="auto"/>
        <w:ind w:left="720" w:hanging="720"/>
        <w:rPr>
          <w:sz w:val="20"/>
        </w:rPr>
      </w:pPr>
      <w:r w:rsidRPr="0035263B">
        <w:rPr>
          <w:sz w:val="20"/>
        </w:rPr>
        <w:tab/>
      </w:r>
      <w:r w:rsidR="004D0FE9" w:rsidRPr="0035263B">
        <w:rPr>
          <w:sz w:val="20"/>
        </w:rPr>
        <w:t>D)</w:t>
      </w:r>
      <w:r w:rsidR="008113D5" w:rsidRPr="0035263B">
        <w:rPr>
          <w:sz w:val="20"/>
        </w:rPr>
        <w:t xml:space="preserve"> N/A</w:t>
      </w:r>
    </w:p>
    <w:p w14:paraId="22D53A05" w14:textId="77777777" w:rsidR="008113D5" w:rsidRPr="0035263B" w:rsidRDefault="004D0FE9" w:rsidP="00FA7EF9">
      <w:pPr>
        <w:pStyle w:val="TableNote"/>
        <w:tabs>
          <w:tab w:val="left" w:pos="5400"/>
        </w:tabs>
        <w:spacing w:line="240" w:lineRule="auto"/>
        <w:ind w:left="720" w:hanging="720"/>
        <w:rPr>
          <w:sz w:val="20"/>
        </w:rPr>
      </w:pPr>
      <w:r w:rsidRPr="0035263B">
        <w:rPr>
          <w:sz w:val="20"/>
        </w:rPr>
        <w:tab/>
      </w:r>
    </w:p>
    <w:p w14:paraId="1305635B" w14:textId="13AF3C44" w:rsidR="004D0FE9" w:rsidRPr="0035263B" w:rsidRDefault="008113D5" w:rsidP="00FA7EF9">
      <w:pPr>
        <w:pStyle w:val="TableNote"/>
        <w:tabs>
          <w:tab w:val="left" w:pos="5400"/>
        </w:tabs>
        <w:spacing w:line="240" w:lineRule="auto"/>
        <w:ind w:left="720" w:hanging="720"/>
        <w:rPr>
          <w:sz w:val="20"/>
        </w:rPr>
      </w:pPr>
      <w:r w:rsidRPr="0035263B">
        <w:rPr>
          <w:sz w:val="20"/>
        </w:rPr>
        <w:tab/>
      </w:r>
      <w:r w:rsidR="004D0FE9" w:rsidRPr="0035263B">
        <w:rPr>
          <w:sz w:val="20"/>
        </w:rPr>
        <w:t>E)</w:t>
      </w:r>
      <w:r w:rsidRPr="0035263B">
        <w:rPr>
          <w:sz w:val="20"/>
        </w:rPr>
        <w:t xml:space="preserve"> N/A</w:t>
      </w:r>
    </w:p>
    <w:p w14:paraId="7961F2CA" w14:textId="77777777" w:rsidR="00E04103" w:rsidRPr="0035263B" w:rsidRDefault="00E04103" w:rsidP="00FA7EF9">
      <w:pPr>
        <w:pStyle w:val="TableNote"/>
        <w:tabs>
          <w:tab w:val="left" w:pos="5400"/>
        </w:tabs>
        <w:spacing w:line="240" w:lineRule="auto"/>
        <w:rPr>
          <w:sz w:val="20"/>
        </w:rPr>
      </w:pPr>
    </w:p>
    <w:p w14:paraId="1DFB5A0B" w14:textId="4FEE389D" w:rsidR="00F8414A" w:rsidRPr="0035263B" w:rsidRDefault="00F8414A" w:rsidP="00FA7EF9">
      <w:pPr>
        <w:pStyle w:val="TableNote"/>
        <w:tabs>
          <w:tab w:val="left" w:pos="5400"/>
        </w:tabs>
        <w:spacing w:line="240" w:lineRule="auto"/>
        <w:ind w:left="720" w:hanging="720"/>
        <w:rPr>
          <w:sz w:val="20"/>
        </w:rPr>
      </w:pPr>
      <w:r w:rsidRPr="0035263B">
        <w:rPr>
          <w:sz w:val="20"/>
        </w:rPr>
        <w:t>13</w:t>
      </w:r>
      <w:r w:rsidR="00211056" w:rsidRPr="0035263B">
        <w:rPr>
          <w:sz w:val="20"/>
        </w:rPr>
        <w:tab/>
        <w:t>A</w:t>
      </w:r>
      <w:r w:rsidR="00211056" w:rsidRPr="00CC07B1">
        <w:rPr>
          <w:sz w:val="20"/>
        </w:rPr>
        <w:t xml:space="preserve">) </w:t>
      </w:r>
      <w:r w:rsidR="002A6D4D" w:rsidRPr="00CC07B1">
        <w:rPr>
          <w:sz w:val="20"/>
        </w:rPr>
        <w:t>“</w:t>
      </w:r>
      <w:r w:rsidR="00CC07B1" w:rsidRPr="00CC07B1">
        <w:rPr>
          <w:sz w:val="20"/>
        </w:rPr>
        <w:t>Our analysis included 15,729 children (Table 1)”.</w:t>
      </w:r>
    </w:p>
    <w:p w14:paraId="28031A07" w14:textId="77777777" w:rsidR="002A6D4D" w:rsidRPr="0035263B" w:rsidRDefault="00211056" w:rsidP="00FA7EF9">
      <w:pPr>
        <w:pStyle w:val="TableNote"/>
        <w:tabs>
          <w:tab w:val="left" w:pos="5400"/>
        </w:tabs>
        <w:spacing w:line="240" w:lineRule="auto"/>
        <w:ind w:left="720" w:hanging="720"/>
        <w:rPr>
          <w:sz w:val="20"/>
        </w:rPr>
      </w:pPr>
      <w:r w:rsidRPr="0035263B">
        <w:rPr>
          <w:sz w:val="20"/>
        </w:rPr>
        <w:tab/>
      </w:r>
    </w:p>
    <w:p w14:paraId="48A939A2" w14:textId="1A0A4BA6" w:rsidR="00211056" w:rsidRPr="0035263B" w:rsidRDefault="002A6D4D" w:rsidP="00FA7EF9">
      <w:pPr>
        <w:pStyle w:val="TableNote"/>
        <w:tabs>
          <w:tab w:val="left" w:pos="5400"/>
        </w:tabs>
        <w:spacing w:line="240" w:lineRule="auto"/>
        <w:ind w:left="720" w:hanging="720"/>
        <w:rPr>
          <w:sz w:val="20"/>
        </w:rPr>
      </w:pPr>
      <w:r w:rsidRPr="0035263B">
        <w:rPr>
          <w:sz w:val="20"/>
        </w:rPr>
        <w:tab/>
      </w:r>
      <w:r w:rsidR="00211056" w:rsidRPr="0035263B">
        <w:rPr>
          <w:sz w:val="20"/>
        </w:rPr>
        <w:t>B) N/A</w:t>
      </w:r>
    </w:p>
    <w:p w14:paraId="0B8FFA69" w14:textId="77777777" w:rsidR="002A6D4D" w:rsidRPr="0035263B" w:rsidRDefault="00211056" w:rsidP="00FA7EF9">
      <w:pPr>
        <w:pStyle w:val="TableNote"/>
        <w:tabs>
          <w:tab w:val="left" w:pos="5400"/>
        </w:tabs>
        <w:spacing w:line="240" w:lineRule="auto"/>
        <w:ind w:left="720" w:hanging="720"/>
        <w:rPr>
          <w:sz w:val="20"/>
        </w:rPr>
      </w:pPr>
      <w:r w:rsidRPr="0035263B">
        <w:rPr>
          <w:sz w:val="20"/>
        </w:rPr>
        <w:tab/>
      </w:r>
    </w:p>
    <w:p w14:paraId="6CD424F4" w14:textId="2D86430C" w:rsidR="00211056" w:rsidRPr="0035263B" w:rsidRDefault="002A6D4D" w:rsidP="00FA7EF9">
      <w:pPr>
        <w:pStyle w:val="TableNote"/>
        <w:tabs>
          <w:tab w:val="left" w:pos="5400"/>
        </w:tabs>
        <w:spacing w:line="240" w:lineRule="auto"/>
        <w:ind w:left="720" w:hanging="720"/>
        <w:rPr>
          <w:sz w:val="20"/>
        </w:rPr>
      </w:pPr>
      <w:r w:rsidRPr="0035263B">
        <w:rPr>
          <w:sz w:val="20"/>
        </w:rPr>
        <w:tab/>
      </w:r>
      <w:r w:rsidR="00211056" w:rsidRPr="0035263B">
        <w:rPr>
          <w:sz w:val="20"/>
        </w:rPr>
        <w:t>C) N/A</w:t>
      </w:r>
    </w:p>
    <w:p w14:paraId="13370D65" w14:textId="77777777" w:rsidR="00E04103" w:rsidRPr="0035263B" w:rsidRDefault="00E04103" w:rsidP="00FA7EF9">
      <w:pPr>
        <w:pStyle w:val="TableNote"/>
        <w:tabs>
          <w:tab w:val="left" w:pos="5400"/>
        </w:tabs>
        <w:spacing w:line="240" w:lineRule="auto"/>
        <w:rPr>
          <w:sz w:val="20"/>
        </w:rPr>
      </w:pPr>
    </w:p>
    <w:p w14:paraId="26A74D4C" w14:textId="4D328693" w:rsidR="00F51FEC" w:rsidRPr="0035263B" w:rsidRDefault="00F8414A" w:rsidP="00FA7EF9">
      <w:pPr>
        <w:pStyle w:val="TableNote"/>
        <w:tabs>
          <w:tab w:val="left" w:pos="5400"/>
        </w:tabs>
        <w:spacing w:line="240" w:lineRule="auto"/>
        <w:ind w:left="720" w:hanging="720"/>
        <w:rPr>
          <w:sz w:val="20"/>
        </w:rPr>
      </w:pPr>
      <w:r w:rsidRPr="0035263B">
        <w:rPr>
          <w:sz w:val="20"/>
        </w:rPr>
        <w:t>14</w:t>
      </w:r>
      <w:r w:rsidR="00F51FEC" w:rsidRPr="0035263B">
        <w:rPr>
          <w:sz w:val="20"/>
        </w:rPr>
        <w:tab/>
      </w:r>
      <w:r w:rsidR="00D85494" w:rsidRPr="0035263B">
        <w:rPr>
          <w:sz w:val="20"/>
        </w:rPr>
        <w:t xml:space="preserve">A) See </w:t>
      </w:r>
      <w:r w:rsidR="00F51FEC" w:rsidRPr="0035263B">
        <w:rPr>
          <w:sz w:val="20"/>
        </w:rPr>
        <w:t>Table 1</w:t>
      </w:r>
    </w:p>
    <w:p w14:paraId="5C43F816" w14:textId="77777777" w:rsidR="00F51FEC" w:rsidRPr="0035263B" w:rsidRDefault="00F51FEC" w:rsidP="00FA7EF9">
      <w:pPr>
        <w:pStyle w:val="TableNote"/>
        <w:tabs>
          <w:tab w:val="left" w:pos="5400"/>
        </w:tabs>
        <w:spacing w:line="240" w:lineRule="auto"/>
        <w:ind w:left="720" w:hanging="720"/>
        <w:rPr>
          <w:sz w:val="20"/>
        </w:rPr>
      </w:pPr>
      <w:r w:rsidRPr="0035263B">
        <w:rPr>
          <w:sz w:val="20"/>
        </w:rPr>
        <w:tab/>
      </w:r>
    </w:p>
    <w:p w14:paraId="3D6894AA" w14:textId="41BBC111" w:rsidR="00D85494" w:rsidRPr="0035263B" w:rsidRDefault="00F51FEC" w:rsidP="00FA7EF9">
      <w:pPr>
        <w:pStyle w:val="TableNote"/>
        <w:tabs>
          <w:tab w:val="left" w:pos="5400"/>
        </w:tabs>
        <w:spacing w:line="240" w:lineRule="auto"/>
        <w:ind w:left="720" w:hanging="720"/>
        <w:rPr>
          <w:sz w:val="20"/>
        </w:rPr>
      </w:pPr>
      <w:r w:rsidRPr="0035263B">
        <w:rPr>
          <w:sz w:val="20"/>
        </w:rPr>
        <w:tab/>
        <w:t>B)</w:t>
      </w:r>
      <w:r w:rsidR="00D10D71" w:rsidRPr="0035263B">
        <w:rPr>
          <w:sz w:val="20"/>
        </w:rPr>
        <w:t xml:space="preserve"> See Table</w:t>
      </w:r>
      <w:r w:rsidR="006575B9" w:rsidRPr="0035263B">
        <w:rPr>
          <w:sz w:val="20"/>
        </w:rPr>
        <w:t xml:space="preserve"> </w:t>
      </w:r>
      <w:r w:rsidR="00D10D71" w:rsidRPr="0035263B">
        <w:rPr>
          <w:sz w:val="20"/>
        </w:rPr>
        <w:t xml:space="preserve">1 and </w:t>
      </w:r>
      <w:r w:rsidR="00C741CD" w:rsidRPr="0035263B">
        <w:rPr>
          <w:sz w:val="20"/>
        </w:rPr>
        <w:t xml:space="preserve">Table </w:t>
      </w:r>
      <w:r w:rsidR="00D10D71" w:rsidRPr="0035263B">
        <w:rPr>
          <w:sz w:val="20"/>
        </w:rPr>
        <w:t>2</w:t>
      </w:r>
    </w:p>
    <w:p w14:paraId="05C2FF68" w14:textId="77777777" w:rsidR="00E04103" w:rsidRPr="0035263B" w:rsidRDefault="00E04103" w:rsidP="00FA7EF9">
      <w:pPr>
        <w:pStyle w:val="TableNote"/>
        <w:tabs>
          <w:tab w:val="left" w:pos="5400"/>
        </w:tabs>
        <w:spacing w:line="240" w:lineRule="auto"/>
        <w:rPr>
          <w:sz w:val="20"/>
        </w:rPr>
      </w:pPr>
    </w:p>
    <w:p w14:paraId="57DB2653" w14:textId="28946E59" w:rsidR="00D10D71" w:rsidRPr="0035263B" w:rsidRDefault="00F8414A" w:rsidP="00D10D71">
      <w:pPr>
        <w:pStyle w:val="TableNote"/>
        <w:tabs>
          <w:tab w:val="left" w:pos="3015"/>
        </w:tabs>
        <w:spacing w:line="240" w:lineRule="auto"/>
        <w:ind w:left="720" w:hanging="720"/>
        <w:rPr>
          <w:sz w:val="20"/>
        </w:rPr>
      </w:pPr>
      <w:r w:rsidRPr="0035263B">
        <w:rPr>
          <w:sz w:val="20"/>
        </w:rPr>
        <w:t>15</w:t>
      </w:r>
      <w:r w:rsidR="00F51FEC" w:rsidRPr="0035263B">
        <w:rPr>
          <w:sz w:val="20"/>
        </w:rPr>
        <w:t xml:space="preserve"> </w:t>
      </w:r>
      <w:r w:rsidR="00F51FEC" w:rsidRPr="0035263B">
        <w:rPr>
          <w:sz w:val="20"/>
        </w:rPr>
        <w:tab/>
        <w:t>See Table</w:t>
      </w:r>
      <w:r w:rsidR="006575B9" w:rsidRPr="0035263B">
        <w:rPr>
          <w:sz w:val="20"/>
        </w:rPr>
        <w:t xml:space="preserve"> </w:t>
      </w:r>
      <w:r w:rsidR="00F51FEC" w:rsidRPr="0035263B">
        <w:rPr>
          <w:sz w:val="20"/>
        </w:rPr>
        <w:t>1</w:t>
      </w:r>
      <w:r w:rsidR="00C960AB" w:rsidRPr="0035263B">
        <w:rPr>
          <w:sz w:val="20"/>
        </w:rPr>
        <w:t xml:space="preserve"> and</w:t>
      </w:r>
      <w:r w:rsidR="00F51FEC" w:rsidRPr="0035263B">
        <w:rPr>
          <w:sz w:val="20"/>
        </w:rPr>
        <w:t xml:space="preserve"> Table 2</w:t>
      </w:r>
    </w:p>
    <w:p w14:paraId="536E676B" w14:textId="77777777" w:rsidR="00D10D71" w:rsidRPr="0035263B" w:rsidRDefault="00D10D71" w:rsidP="00D10D71">
      <w:pPr>
        <w:pStyle w:val="TableNote"/>
        <w:tabs>
          <w:tab w:val="left" w:pos="3015"/>
        </w:tabs>
        <w:spacing w:line="240" w:lineRule="auto"/>
        <w:ind w:left="720" w:hanging="720"/>
        <w:rPr>
          <w:sz w:val="20"/>
        </w:rPr>
      </w:pPr>
    </w:p>
    <w:p w14:paraId="5E1E0922" w14:textId="7FC33603" w:rsidR="00721E0A" w:rsidRPr="00693934" w:rsidRDefault="00D10D71" w:rsidP="00693934">
      <w:pPr>
        <w:spacing w:line="240" w:lineRule="auto"/>
        <w:ind w:left="720"/>
        <w:rPr>
          <w:sz w:val="20"/>
        </w:rPr>
      </w:pPr>
      <w:r w:rsidRPr="0035263B">
        <w:rPr>
          <w:sz w:val="20"/>
        </w:rPr>
        <w:t>“</w:t>
      </w:r>
      <w:r w:rsidR="00721E0A" w:rsidRPr="0035263B">
        <w:rPr>
          <w:sz w:val="20"/>
        </w:rPr>
        <w:t xml:space="preserve">Our analysis included 15,729 children (Table 1). For children &lt;5 years of age, the observed mean weight-for-height z-score in Afghan children was lower than in Iraqi children (Iraqi +0.13; Afghan: -0.10), as was observed mean z-score for height-for-age (Iraqi: -1.09; Afghan: -1.37). However, the SDs for all </w:t>
      </w:r>
      <w:r w:rsidR="00721E0A" w:rsidRPr="00693934">
        <w:rPr>
          <w:sz w:val="20"/>
        </w:rPr>
        <w:t>anthropometric indicators were larger than suggested range for data quality (Table 1), suggesting potential inaccuracy in measurement or reporting [7].”</w:t>
      </w:r>
    </w:p>
    <w:p w14:paraId="639F85E5" w14:textId="77777777" w:rsidR="00721E0A" w:rsidRPr="00693934" w:rsidRDefault="00721E0A" w:rsidP="00693934">
      <w:pPr>
        <w:spacing w:line="240" w:lineRule="auto"/>
        <w:ind w:left="720"/>
        <w:rPr>
          <w:sz w:val="20"/>
        </w:rPr>
      </w:pPr>
    </w:p>
    <w:p w14:paraId="06454450" w14:textId="44751E9A" w:rsidR="00CC07B1" w:rsidRPr="00693934" w:rsidRDefault="00693934" w:rsidP="00693934">
      <w:pPr>
        <w:spacing w:line="240" w:lineRule="auto"/>
        <w:ind w:left="720"/>
        <w:rPr>
          <w:sz w:val="20"/>
        </w:rPr>
      </w:pPr>
      <w:r w:rsidRPr="00693934">
        <w:rPr>
          <w:sz w:val="20"/>
        </w:rPr>
        <w:t>“</w:t>
      </w:r>
      <w:r w:rsidR="00CC07B1" w:rsidRPr="00693934">
        <w:rPr>
          <w:sz w:val="20"/>
        </w:rPr>
        <w:t xml:space="preserve">For children </w:t>
      </w:r>
      <w:r w:rsidR="00CC07B1" w:rsidRPr="00693934">
        <w:rPr>
          <w:sz w:val="20"/>
        </w:rPr>
        <w:sym w:font="Symbol" w:char="F0B3"/>
      </w:r>
      <w:r w:rsidR="00CC07B1" w:rsidRPr="00693934">
        <w:rPr>
          <w:sz w:val="20"/>
        </w:rPr>
        <w:t>5 years, the mean height-for-age z-score in Afghan children was lower than in Iraqi children (Iraqi: -0.28; Afghan: -0.68), as was mean z-score for BMI-for-age (Iraqi: +0.25; Afghan: -0.41). However, the SDs for BMI-for-age were larger than expected (Table 1), suggesting potential inaccuracy in measurement or reporting [7].</w:t>
      </w:r>
      <w:r w:rsidRPr="00693934">
        <w:rPr>
          <w:sz w:val="20"/>
        </w:rPr>
        <w:t>”</w:t>
      </w:r>
    </w:p>
    <w:p w14:paraId="388871D2" w14:textId="77777777" w:rsidR="00693934" w:rsidRDefault="00693934" w:rsidP="00693934">
      <w:pPr>
        <w:spacing w:line="240" w:lineRule="auto"/>
        <w:ind w:left="720"/>
        <w:rPr>
          <w:sz w:val="20"/>
        </w:rPr>
      </w:pPr>
    </w:p>
    <w:p w14:paraId="65521413" w14:textId="667F3105" w:rsidR="00721E0A" w:rsidRPr="00693934" w:rsidRDefault="00693934" w:rsidP="00693934">
      <w:pPr>
        <w:spacing w:line="240" w:lineRule="auto"/>
        <w:ind w:left="720"/>
        <w:rPr>
          <w:sz w:val="20"/>
        </w:rPr>
      </w:pPr>
      <w:r w:rsidRPr="00693934">
        <w:rPr>
          <w:sz w:val="20"/>
        </w:rPr>
        <w:t>“</w:t>
      </w:r>
      <w:r w:rsidR="00CC07B1" w:rsidRPr="00693934">
        <w:rPr>
          <w:sz w:val="20"/>
        </w:rPr>
        <w:t>Sixteen children had abnormal tuberculosis test findings: 3 (0.02%) had an abnormal chest x-ray with negative sputum cultures (Class B1) and, among those who received a tuberculin skin test (TST), 13 (0.1%) had a positive TST but negative chest x-ray (Class B2) (Table 2).</w:t>
      </w:r>
      <w:r w:rsidRPr="00693934">
        <w:rPr>
          <w:sz w:val="20"/>
        </w:rPr>
        <w:t>”</w:t>
      </w:r>
    </w:p>
    <w:p w14:paraId="0CAC3722" w14:textId="77777777" w:rsidR="00CC07B1" w:rsidRPr="00693934" w:rsidRDefault="00CC07B1" w:rsidP="00693934">
      <w:pPr>
        <w:spacing w:line="240" w:lineRule="auto"/>
        <w:ind w:left="720"/>
        <w:rPr>
          <w:sz w:val="20"/>
        </w:rPr>
      </w:pPr>
    </w:p>
    <w:p w14:paraId="679AA5F9" w14:textId="6362F5DE" w:rsidR="00CC07B1" w:rsidRPr="00693934" w:rsidRDefault="00693934" w:rsidP="00693934">
      <w:pPr>
        <w:spacing w:line="240" w:lineRule="auto"/>
        <w:ind w:left="720"/>
        <w:rPr>
          <w:sz w:val="20"/>
        </w:rPr>
      </w:pPr>
      <w:r w:rsidRPr="00693934">
        <w:rPr>
          <w:sz w:val="20"/>
        </w:rPr>
        <w:t>“</w:t>
      </w:r>
      <w:r w:rsidR="00CC07B1" w:rsidRPr="00693934">
        <w:rPr>
          <w:sz w:val="20"/>
        </w:rPr>
        <w:t xml:space="preserve">Sixteen children had abnormal tuberculosis test findings: 3 (0.02%) had an abnormal chest x-ray with negative sputum cultures (Class B1) and, among those who received a tuberculin skin test (TST), 13 (0.1%) had a positive TST but negative chest x-ray (Class B2) (Table 2). Vision abnormalities were noted in 566 (4%) children, with Iraqis twice as likely to have vision abnormalities (OR: 1.9, 95% CI: 1.6-2.2, </w:t>
      </w:r>
      <w:r w:rsidR="00CC07B1" w:rsidRPr="00693934">
        <w:rPr>
          <w:i/>
          <w:iCs/>
          <w:sz w:val="20"/>
        </w:rPr>
        <w:t xml:space="preserve">p </w:t>
      </w:r>
      <w:r w:rsidR="00CC07B1" w:rsidRPr="00693934">
        <w:rPr>
          <w:sz w:val="20"/>
        </w:rPr>
        <w:t xml:space="preserve">&lt; 0.001). Among children reported with vision abnormalities, strabismus was reported for 92 children (0.5%). Hearing abnormalities were noted in 89 (0.6%) children, with Iraqis less likely to have hearing abnormalities (OR: 0.4, 95% CI: 0.2-0.7, </w:t>
      </w:r>
      <w:r w:rsidR="00CC07B1" w:rsidRPr="00693934">
        <w:rPr>
          <w:i/>
          <w:iCs/>
          <w:sz w:val="20"/>
        </w:rPr>
        <w:t xml:space="preserve">p </w:t>
      </w:r>
      <w:r w:rsidR="00CC07B1" w:rsidRPr="00693934">
        <w:rPr>
          <w:sz w:val="20"/>
        </w:rPr>
        <w:t xml:space="preserve">= 0.002). Seizure disorders were noted in 46 (0.3%) children, with Iraqis more likely to have a seizure disorder (OR: 7.6, 95% CI: 3.8-15.0, </w:t>
      </w:r>
      <w:r w:rsidR="00CC07B1" w:rsidRPr="00693934">
        <w:rPr>
          <w:i/>
          <w:iCs/>
          <w:sz w:val="20"/>
        </w:rPr>
        <w:t xml:space="preserve">p </w:t>
      </w:r>
      <w:r w:rsidR="00CC07B1" w:rsidRPr="00693934">
        <w:rPr>
          <w:sz w:val="20"/>
        </w:rPr>
        <w:t xml:space="preserve">&lt; 0.001). </w:t>
      </w:r>
      <w:bookmarkStart w:id="96" w:name="_Hlk31626395"/>
      <w:r w:rsidR="00CC07B1" w:rsidRPr="00693934">
        <w:rPr>
          <w:sz w:val="20"/>
        </w:rPr>
        <w:t xml:space="preserve">No cases of syphilis, </w:t>
      </w:r>
      <w:proofErr w:type="spellStart"/>
      <w:r w:rsidR="00CC07B1" w:rsidRPr="00693934">
        <w:rPr>
          <w:sz w:val="20"/>
        </w:rPr>
        <w:t>gonorrhea</w:t>
      </w:r>
      <w:proofErr w:type="spellEnd"/>
      <w:r w:rsidR="00CC07B1" w:rsidRPr="00693934">
        <w:rPr>
          <w:sz w:val="20"/>
        </w:rPr>
        <w:t xml:space="preserve"> or Hansen’s disease were found.</w:t>
      </w:r>
      <w:bookmarkEnd w:id="96"/>
      <w:r w:rsidRPr="00693934">
        <w:rPr>
          <w:sz w:val="20"/>
        </w:rPr>
        <w:t>”</w:t>
      </w:r>
    </w:p>
    <w:p w14:paraId="5A3BDDA1" w14:textId="77777777" w:rsidR="00721E0A" w:rsidRPr="00693934" w:rsidRDefault="00721E0A" w:rsidP="00693934">
      <w:pPr>
        <w:spacing w:line="240" w:lineRule="auto"/>
        <w:rPr>
          <w:sz w:val="20"/>
        </w:rPr>
      </w:pPr>
    </w:p>
    <w:p w14:paraId="54391A4F" w14:textId="77777777" w:rsidR="004245FA" w:rsidRPr="00693934" w:rsidRDefault="004245FA" w:rsidP="00693934">
      <w:pPr>
        <w:spacing w:line="240" w:lineRule="auto"/>
        <w:ind w:left="720"/>
        <w:rPr>
          <w:sz w:val="20"/>
        </w:rPr>
      </w:pPr>
    </w:p>
    <w:p w14:paraId="55B99BED" w14:textId="0658FE5D" w:rsidR="00CC07B1" w:rsidRPr="00693934" w:rsidRDefault="00F8414A" w:rsidP="00693934">
      <w:pPr>
        <w:spacing w:line="240" w:lineRule="auto"/>
        <w:ind w:left="720" w:hanging="720"/>
        <w:rPr>
          <w:sz w:val="20"/>
        </w:rPr>
      </w:pPr>
      <w:r w:rsidRPr="00693934">
        <w:rPr>
          <w:sz w:val="20"/>
        </w:rPr>
        <w:t>16</w:t>
      </w:r>
      <w:r w:rsidR="00FB0DDC" w:rsidRPr="00693934">
        <w:rPr>
          <w:sz w:val="20"/>
        </w:rPr>
        <w:t xml:space="preserve"> </w:t>
      </w:r>
      <w:r w:rsidR="00FB0DDC" w:rsidRPr="00693934">
        <w:rPr>
          <w:sz w:val="20"/>
        </w:rPr>
        <w:tab/>
        <w:t>A)</w:t>
      </w:r>
      <w:r w:rsidR="002A6D4D" w:rsidRPr="00693934">
        <w:rPr>
          <w:sz w:val="20"/>
        </w:rPr>
        <w:t xml:space="preserve"> “</w:t>
      </w:r>
      <w:r w:rsidR="00CC07B1" w:rsidRPr="00693934">
        <w:rPr>
          <w:sz w:val="20"/>
        </w:rPr>
        <w:t xml:space="preserve">Vision abnormalities were noted in 566 (4%) children, with Iraqis twice as likely to have vision abnormalities (OR: 1.9, 95% CI: 1.6-2.2, </w:t>
      </w:r>
      <w:r w:rsidR="00CC07B1" w:rsidRPr="00693934">
        <w:rPr>
          <w:i/>
          <w:iCs/>
          <w:sz w:val="20"/>
        </w:rPr>
        <w:t xml:space="preserve">p </w:t>
      </w:r>
      <w:r w:rsidR="00CC07B1" w:rsidRPr="00693934">
        <w:rPr>
          <w:sz w:val="20"/>
        </w:rPr>
        <w:t xml:space="preserve">&lt; 0.001). Among children reported with vision abnormalities, strabismus was reported for 92 children (0.5%). Hearing abnormalities were noted in 89 (0.6%) children, with Iraqis less likely to have hearing abnormalities (OR: 0.4, 95% CI: 0.2-0.7, </w:t>
      </w:r>
      <w:r w:rsidR="00CC07B1" w:rsidRPr="00693934">
        <w:rPr>
          <w:i/>
          <w:iCs/>
          <w:sz w:val="20"/>
        </w:rPr>
        <w:t xml:space="preserve">p </w:t>
      </w:r>
      <w:r w:rsidR="00CC07B1" w:rsidRPr="00693934">
        <w:rPr>
          <w:sz w:val="20"/>
        </w:rPr>
        <w:t xml:space="preserve">= 0.002). Seizure disorders were noted in 46 (0.3%) children, with Iraqis more likely to have a seizure disorder (OR: 7.6, 95% CI: 3.8-15.0, </w:t>
      </w:r>
      <w:r w:rsidR="00CC07B1" w:rsidRPr="00693934">
        <w:rPr>
          <w:i/>
          <w:iCs/>
          <w:sz w:val="20"/>
        </w:rPr>
        <w:t xml:space="preserve">p </w:t>
      </w:r>
      <w:r w:rsidR="00CC07B1" w:rsidRPr="00693934">
        <w:rPr>
          <w:sz w:val="20"/>
        </w:rPr>
        <w:t xml:space="preserve">&lt; 0.001). No cases of syphilis, </w:t>
      </w:r>
      <w:proofErr w:type="spellStart"/>
      <w:r w:rsidR="00CC07B1" w:rsidRPr="00693934">
        <w:rPr>
          <w:sz w:val="20"/>
        </w:rPr>
        <w:t>gonorrhea</w:t>
      </w:r>
      <w:proofErr w:type="spellEnd"/>
      <w:r w:rsidR="00CC07B1" w:rsidRPr="00693934">
        <w:rPr>
          <w:sz w:val="20"/>
        </w:rPr>
        <w:t xml:space="preserve"> or Hansen’s disease were found.”</w:t>
      </w:r>
    </w:p>
    <w:p w14:paraId="4C9FAAD7" w14:textId="77777777" w:rsidR="00CC07B1" w:rsidRPr="00693934" w:rsidRDefault="00CC07B1" w:rsidP="00693934">
      <w:pPr>
        <w:spacing w:after="160" w:line="240" w:lineRule="auto"/>
        <w:rPr>
          <w:b/>
          <w:sz w:val="20"/>
        </w:rPr>
      </w:pPr>
      <w:r w:rsidRPr="00693934">
        <w:rPr>
          <w:b/>
          <w:sz w:val="20"/>
        </w:rPr>
        <w:br w:type="page"/>
      </w:r>
    </w:p>
    <w:p w14:paraId="607EA648" w14:textId="2469C87C" w:rsidR="00FB0DDC" w:rsidRPr="00693934" w:rsidRDefault="00FB0DDC" w:rsidP="00693934">
      <w:pPr>
        <w:spacing w:line="240" w:lineRule="auto"/>
        <w:ind w:left="720" w:hanging="720"/>
        <w:rPr>
          <w:sz w:val="20"/>
        </w:rPr>
      </w:pPr>
    </w:p>
    <w:p w14:paraId="728B51A2" w14:textId="77777777" w:rsidR="002A6D4D" w:rsidRPr="00693934" w:rsidRDefault="00FB0DDC" w:rsidP="00693934">
      <w:pPr>
        <w:spacing w:line="240" w:lineRule="auto"/>
        <w:ind w:left="720" w:hanging="720"/>
        <w:rPr>
          <w:sz w:val="20"/>
        </w:rPr>
      </w:pPr>
      <w:r w:rsidRPr="00693934">
        <w:rPr>
          <w:sz w:val="20"/>
        </w:rPr>
        <w:tab/>
      </w:r>
    </w:p>
    <w:p w14:paraId="7E32D723" w14:textId="12C6DFFB" w:rsidR="00FB0DDC" w:rsidRPr="00693934" w:rsidRDefault="00FB0DDC" w:rsidP="00693934">
      <w:pPr>
        <w:spacing w:line="240" w:lineRule="auto"/>
        <w:ind w:left="720"/>
        <w:rPr>
          <w:sz w:val="20"/>
        </w:rPr>
      </w:pPr>
      <w:r w:rsidRPr="00693934">
        <w:rPr>
          <w:sz w:val="20"/>
        </w:rPr>
        <w:t>B) N/A</w:t>
      </w:r>
    </w:p>
    <w:p w14:paraId="38A6D698" w14:textId="77777777" w:rsidR="002A6D4D" w:rsidRPr="00693934" w:rsidRDefault="00FB0DDC" w:rsidP="00693934">
      <w:pPr>
        <w:spacing w:line="240" w:lineRule="auto"/>
        <w:ind w:left="720" w:hanging="720"/>
        <w:rPr>
          <w:sz w:val="20"/>
        </w:rPr>
      </w:pPr>
      <w:r w:rsidRPr="00693934">
        <w:rPr>
          <w:sz w:val="20"/>
        </w:rPr>
        <w:tab/>
      </w:r>
    </w:p>
    <w:p w14:paraId="4220D4F5" w14:textId="65C7AF8E" w:rsidR="00FB0DDC" w:rsidRPr="00693934" w:rsidRDefault="00FB0DDC" w:rsidP="00693934">
      <w:pPr>
        <w:spacing w:line="240" w:lineRule="auto"/>
        <w:ind w:left="720"/>
        <w:rPr>
          <w:sz w:val="20"/>
        </w:rPr>
      </w:pPr>
      <w:r w:rsidRPr="00693934">
        <w:rPr>
          <w:sz w:val="20"/>
        </w:rPr>
        <w:t>C) N/A</w:t>
      </w:r>
    </w:p>
    <w:p w14:paraId="4E475641" w14:textId="77777777" w:rsidR="00E04103" w:rsidRPr="00693934" w:rsidRDefault="00E04103" w:rsidP="00693934">
      <w:pPr>
        <w:pStyle w:val="TableNote"/>
        <w:tabs>
          <w:tab w:val="left" w:pos="5400"/>
        </w:tabs>
        <w:spacing w:line="240" w:lineRule="auto"/>
        <w:rPr>
          <w:sz w:val="20"/>
        </w:rPr>
      </w:pPr>
    </w:p>
    <w:p w14:paraId="7C6888DF" w14:textId="18EB17FE" w:rsidR="00F8414A" w:rsidRPr="00693934" w:rsidRDefault="00F8414A" w:rsidP="00693934">
      <w:pPr>
        <w:pStyle w:val="TableNote"/>
        <w:tabs>
          <w:tab w:val="left" w:pos="5400"/>
        </w:tabs>
        <w:spacing w:line="240" w:lineRule="auto"/>
        <w:ind w:left="720" w:hanging="720"/>
        <w:rPr>
          <w:sz w:val="20"/>
        </w:rPr>
      </w:pPr>
      <w:r w:rsidRPr="00693934">
        <w:rPr>
          <w:sz w:val="20"/>
        </w:rPr>
        <w:t>17</w:t>
      </w:r>
      <w:r w:rsidR="000A3D2A" w:rsidRPr="00693934">
        <w:rPr>
          <w:sz w:val="20"/>
        </w:rPr>
        <w:tab/>
        <w:t xml:space="preserve">N/A </w:t>
      </w:r>
    </w:p>
    <w:p w14:paraId="1640A032" w14:textId="77777777" w:rsidR="00E04103" w:rsidRPr="00693934" w:rsidRDefault="00E04103" w:rsidP="00693934">
      <w:pPr>
        <w:pStyle w:val="TableNote"/>
        <w:tabs>
          <w:tab w:val="left" w:pos="5400"/>
        </w:tabs>
        <w:spacing w:line="240" w:lineRule="auto"/>
        <w:rPr>
          <w:sz w:val="20"/>
        </w:rPr>
      </w:pPr>
    </w:p>
    <w:p w14:paraId="4B39EB92" w14:textId="6401CBC1" w:rsidR="00CC07B1" w:rsidRPr="00693934" w:rsidRDefault="00F8414A" w:rsidP="00693934">
      <w:pPr>
        <w:spacing w:line="240" w:lineRule="auto"/>
        <w:ind w:left="720" w:hanging="720"/>
        <w:rPr>
          <w:sz w:val="20"/>
        </w:rPr>
      </w:pPr>
      <w:r w:rsidRPr="00693934">
        <w:rPr>
          <w:sz w:val="20"/>
        </w:rPr>
        <w:t>18</w:t>
      </w:r>
      <w:r w:rsidR="000A3D2A" w:rsidRPr="00693934">
        <w:rPr>
          <w:sz w:val="20"/>
        </w:rPr>
        <w:t xml:space="preserve"> </w:t>
      </w:r>
      <w:r w:rsidR="000A3D2A" w:rsidRPr="00693934">
        <w:rPr>
          <w:sz w:val="20"/>
        </w:rPr>
        <w:tab/>
      </w:r>
      <w:r w:rsidR="00563940" w:rsidRPr="00693934">
        <w:rPr>
          <w:sz w:val="20"/>
        </w:rPr>
        <w:t>“</w:t>
      </w:r>
      <w:r w:rsidR="00CC07B1" w:rsidRPr="00693934">
        <w:rPr>
          <w:sz w:val="20"/>
        </w:rPr>
        <w:t xml:space="preserve">In this analysis of SIV children, less than 1% were reported to have abnormal tuberculosis test findings, less than 1% had hearing abnormalities, and about 4% had vision abnormalities, with a greater prevalence of vision abnormalities noted in Iraqis. Seizure disorders were noted in 46 (0.3%) children, with Iraqis more likely to have a seizure disorder (OR: 7.6, 95% CI: 3.8-15.0, </w:t>
      </w:r>
      <w:r w:rsidR="00CC07B1" w:rsidRPr="00693934">
        <w:rPr>
          <w:i/>
          <w:iCs/>
          <w:sz w:val="20"/>
        </w:rPr>
        <w:t xml:space="preserve">p </w:t>
      </w:r>
      <w:r w:rsidR="00CC07B1" w:rsidRPr="00693934">
        <w:rPr>
          <w:sz w:val="20"/>
        </w:rPr>
        <w:t xml:space="preserve">&lt; 0.001). Compared to Afghan children &lt;5 years of age, Iraqi children had greater observed mean z-scores for weight-for-height and height-for-age. For children </w:t>
      </w:r>
      <w:r w:rsidR="00CC07B1" w:rsidRPr="00693934">
        <w:rPr>
          <w:sz w:val="20"/>
        </w:rPr>
        <w:sym w:font="Symbol" w:char="F0B3"/>
      </w:r>
      <w:r w:rsidR="00CC07B1" w:rsidRPr="00693934">
        <w:rPr>
          <w:sz w:val="20"/>
        </w:rPr>
        <w:t xml:space="preserve">5 years, Iraqi children similarly had greater observed mean z-scores for BMI-for-age and height-for-age compared to Afghan children. Data quality assessment for height-for-age for children </w:t>
      </w:r>
      <w:r w:rsidR="00CC07B1" w:rsidRPr="00693934">
        <w:rPr>
          <w:sz w:val="20"/>
        </w:rPr>
        <w:sym w:font="Symbol" w:char="F0B3"/>
      </w:r>
      <w:r w:rsidR="00CC07B1" w:rsidRPr="00693934">
        <w:rPr>
          <w:sz w:val="20"/>
        </w:rPr>
        <w:t>5 years fell within WHO recommendations.”</w:t>
      </w:r>
    </w:p>
    <w:p w14:paraId="02287507" w14:textId="77777777" w:rsidR="00E04103" w:rsidRPr="00693934" w:rsidRDefault="00E04103" w:rsidP="00693934">
      <w:pPr>
        <w:pStyle w:val="TableNote"/>
        <w:tabs>
          <w:tab w:val="left" w:pos="5400"/>
        </w:tabs>
        <w:spacing w:line="240" w:lineRule="auto"/>
        <w:rPr>
          <w:sz w:val="20"/>
        </w:rPr>
      </w:pPr>
    </w:p>
    <w:p w14:paraId="1E6F6C2F" w14:textId="6E0ABAAF" w:rsidR="00721E0A" w:rsidRPr="00693934" w:rsidRDefault="00F8414A" w:rsidP="00693934">
      <w:pPr>
        <w:spacing w:line="240" w:lineRule="auto"/>
        <w:ind w:left="720" w:hanging="720"/>
        <w:rPr>
          <w:sz w:val="20"/>
        </w:rPr>
      </w:pPr>
      <w:r w:rsidRPr="00693934">
        <w:rPr>
          <w:sz w:val="20"/>
        </w:rPr>
        <w:t>19</w:t>
      </w:r>
      <w:r w:rsidR="00A72135" w:rsidRPr="00693934">
        <w:rPr>
          <w:sz w:val="20"/>
        </w:rPr>
        <w:t xml:space="preserve"> </w:t>
      </w:r>
      <w:r w:rsidR="00721E0A" w:rsidRPr="00693934">
        <w:rPr>
          <w:sz w:val="20"/>
        </w:rPr>
        <w:tab/>
        <w:t>“There are limitations to our analysis. First, not all SIV records are available, because the records were inconsistently entered into EDN. As such, our findings are not generalizable to all SIVH entering the US.  Second, medical history for noncommunicable diseases was self-reported or reported by family. Because overseas physicians do not conduct a comprehensive medical examination for noncommunicable diseases, these conditions could be underdiagnosed, underreported, or both. Third, ou</w:t>
      </w:r>
      <w:r w:rsidR="00721E0A" w:rsidRPr="00693934">
        <w:rPr>
          <w:color w:val="000000"/>
          <w:sz w:val="20"/>
        </w:rPr>
        <w:t xml:space="preserve">r logistic regression models did not take into account other factors potentially related to the health outcomes, such as socioeconomic status, access to health services, genetics, exposure to adverse events, and others. </w:t>
      </w:r>
      <w:r w:rsidR="00721E0A" w:rsidRPr="00693934">
        <w:rPr>
          <w:sz w:val="20"/>
        </w:rPr>
        <w:t>Lastly, given the presumed poor data quality of the anthropometric indicators, our findings should be interpreted with caution. Errors may be due to inaccuracy in age reporting or in measurement (e.g.  rounding of anthropometric indicators at the time of measurement or from electronic systems housing the data). Standard deviations for older children and Afghans were lower than for younger children and Iraqis, respectively, suggesting higher measurement quality in the former groups. CDC and international partners are conducting further investigation into the nature of the poor data quality.”</w:t>
      </w:r>
    </w:p>
    <w:p w14:paraId="5307C1A1" w14:textId="3395FCE0" w:rsidR="00E04103" w:rsidRPr="00693934" w:rsidRDefault="00E04103" w:rsidP="00693934">
      <w:pPr>
        <w:pStyle w:val="TableNote"/>
        <w:tabs>
          <w:tab w:val="left" w:pos="5400"/>
        </w:tabs>
        <w:spacing w:line="240" w:lineRule="auto"/>
        <w:ind w:left="720" w:hanging="720"/>
        <w:rPr>
          <w:sz w:val="20"/>
        </w:rPr>
      </w:pPr>
    </w:p>
    <w:p w14:paraId="3BE94268" w14:textId="55CAC4D6" w:rsidR="00721E0A" w:rsidRPr="00693934" w:rsidRDefault="00F8414A" w:rsidP="00693934">
      <w:pPr>
        <w:spacing w:line="240" w:lineRule="auto"/>
        <w:ind w:left="720" w:hanging="720"/>
        <w:rPr>
          <w:sz w:val="20"/>
        </w:rPr>
      </w:pPr>
      <w:r w:rsidRPr="00693934">
        <w:rPr>
          <w:sz w:val="20"/>
        </w:rPr>
        <w:t>20</w:t>
      </w:r>
      <w:r w:rsidR="00FA7EF9" w:rsidRPr="00693934">
        <w:rPr>
          <w:sz w:val="20"/>
        </w:rPr>
        <w:tab/>
        <w:t>“</w:t>
      </w:r>
      <w:r w:rsidR="00721E0A" w:rsidRPr="00693934">
        <w:rPr>
          <w:sz w:val="20"/>
        </w:rPr>
        <w:t>Few articles document latent tuberculosis infection (LTBI) in children from either country. One study reported an LTBI prevalence of 6.8% in Afghan unaccompanied minors in Sweden [8]. Although the estimate was higher than our finding of 0.1%, the authors of that study felt their rates could be related, in part, to exposure during transit. In contrast, our population primarily remained in Afghanistan before US resettlement. Further, prior to October 2018, SIV children between the ages of 2 through 14 were required to receive TSTs overseas for their tuberculosis evaluation; since October 1</w:t>
      </w:r>
      <w:r w:rsidR="00721E0A" w:rsidRPr="00693934">
        <w:rPr>
          <w:sz w:val="20"/>
          <w:vertAlign w:val="superscript"/>
        </w:rPr>
        <w:t>st</w:t>
      </w:r>
      <w:proofErr w:type="gramStart"/>
      <w:r w:rsidR="00721E0A" w:rsidRPr="00693934">
        <w:rPr>
          <w:sz w:val="20"/>
        </w:rPr>
        <w:t xml:space="preserve"> 2018</w:t>
      </w:r>
      <w:proofErr w:type="gramEnd"/>
      <w:r w:rsidR="00721E0A" w:rsidRPr="00693934">
        <w:rPr>
          <w:sz w:val="20"/>
        </w:rPr>
        <w:t>, IGRA testing is now required [9]. Due to the subjectivity of TST readings, LTBI may not have been identified among children with no other signs or symptoms of tuberculosis; however, the requirement of overseas IGRA testing may improve LTBI identification in the future. Additionally, this required change overseas may reduce both the time and financial burden required for LTBI</w:t>
      </w:r>
      <w:r w:rsidR="00721E0A" w:rsidRPr="00693934" w:rsidDel="00CC31CA">
        <w:rPr>
          <w:sz w:val="20"/>
        </w:rPr>
        <w:t xml:space="preserve"> </w:t>
      </w:r>
      <w:r w:rsidR="00721E0A" w:rsidRPr="00693934">
        <w:rPr>
          <w:sz w:val="20"/>
        </w:rPr>
        <w:t xml:space="preserve">follow-up conducted by state and local health departments [10-13].”   </w:t>
      </w:r>
    </w:p>
    <w:p w14:paraId="5AC5EA4E" w14:textId="7EA560A0" w:rsidR="00FA7EF9" w:rsidRPr="00693934" w:rsidRDefault="00FA7EF9" w:rsidP="00693934">
      <w:pPr>
        <w:pStyle w:val="TableNote"/>
        <w:tabs>
          <w:tab w:val="left" w:pos="5400"/>
        </w:tabs>
        <w:spacing w:line="240" w:lineRule="auto"/>
        <w:ind w:left="720" w:hanging="720"/>
        <w:rPr>
          <w:sz w:val="20"/>
        </w:rPr>
      </w:pPr>
    </w:p>
    <w:p w14:paraId="1FCC7E77" w14:textId="42B38E8D" w:rsidR="00721E0A" w:rsidRPr="00693934" w:rsidRDefault="00FA7EF9" w:rsidP="00693934">
      <w:pPr>
        <w:spacing w:line="240" w:lineRule="auto"/>
        <w:ind w:left="720"/>
        <w:rPr>
          <w:sz w:val="20"/>
        </w:rPr>
      </w:pPr>
      <w:r w:rsidRPr="00693934">
        <w:rPr>
          <w:sz w:val="20"/>
        </w:rPr>
        <w:t>“</w:t>
      </w:r>
      <w:r w:rsidR="00721E0A" w:rsidRPr="00693934">
        <w:rPr>
          <w:sz w:val="20"/>
        </w:rPr>
        <w:t>There are few articles on chronic malnutrition among children 5 years or older. Studies of stunting in children under 5 years document a range from 40% to 60% for Afghanistan, and from 7% to 23% for Iraq. It is possible that chronic malnutrition extends to older children if causes of chronic malnutrition, such as inadequate dietary intake or chronic illness, persist [14-16].”</w:t>
      </w:r>
    </w:p>
    <w:p w14:paraId="73DFB190" w14:textId="67ABDA18" w:rsidR="00D10D71" w:rsidRPr="00693934" w:rsidRDefault="00D10D71" w:rsidP="00693934">
      <w:pPr>
        <w:spacing w:line="240" w:lineRule="auto"/>
        <w:rPr>
          <w:sz w:val="20"/>
        </w:rPr>
      </w:pPr>
    </w:p>
    <w:p w14:paraId="46DAC36E" w14:textId="41D153AE" w:rsidR="00D10D71" w:rsidRPr="00693934" w:rsidRDefault="00D10D71" w:rsidP="00693934">
      <w:pPr>
        <w:spacing w:line="240" w:lineRule="auto"/>
        <w:ind w:left="720"/>
        <w:rPr>
          <w:sz w:val="20"/>
        </w:rPr>
      </w:pPr>
      <w:r w:rsidRPr="00693934">
        <w:rPr>
          <w:sz w:val="20"/>
        </w:rPr>
        <w:t xml:space="preserve">See throughout the Discussion. </w:t>
      </w:r>
    </w:p>
    <w:p w14:paraId="610382FC" w14:textId="77777777" w:rsidR="00E04103" w:rsidRPr="00693934" w:rsidRDefault="00E04103" w:rsidP="00693934">
      <w:pPr>
        <w:pStyle w:val="TableNote"/>
        <w:tabs>
          <w:tab w:val="left" w:pos="5400"/>
        </w:tabs>
        <w:spacing w:line="240" w:lineRule="auto"/>
        <w:rPr>
          <w:sz w:val="20"/>
        </w:rPr>
      </w:pPr>
    </w:p>
    <w:p w14:paraId="41EC329A" w14:textId="789DB07A" w:rsidR="00E04103" w:rsidRPr="00693934" w:rsidRDefault="00F8414A" w:rsidP="00693934">
      <w:pPr>
        <w:pStyle w:val="TableNote"/>
        <w:tabs>
          <w:tab w:val="left" w:pos="5400"/>
        </w:tabs>
        <w:spacing w:line="240" w:lineRule="auto"/>
        <w:ind w:left="720" w:hanging="720"/>
        <w:rPr>
          <w:sz w:val="20"/>
        </w:rPr>
      </w:pPr>
      <w:r w:rsidRPr="00693934">
        <w:rPr>
          <w:sz w:val="20"/>
        </w:rPr>
        <w:t>21</w:t>
      </w:r>
      <w:r w:rsidR="00154032" w:rsidRPr="00693934">
        <w:rPr>
          <w:sz w:val="20"/>
        </w:rPr>
        <w:t xml:space="preserve"> </w:t>
      </w:r>
      <w:r w:rsidR="00FA7EF9" w:rsidRPr="00693934">
        <w:rPr>
          <w:sz w:val="20"/>
        </w:rPr>
        <w:tab/>
        <w:t>“</w:t>
      </w:r>
      <w:r w:rsidR="00721E0A" w:rsidRPr="00693934">
        <w:rPr>
          <w:sz w:val="20"/>
        </w:rPr>
        <w:t>First, not all SIV records are available, because the records were inconsistently entered into EDN. As such, our findings are not generalizable to all SIVH entering the US.”</w:t>
      </w:r>
    </w:p>
    <w:p w14:paraId="5488420A" w14:textId="77777777" w:rsidR="00721E0A" w:rsidRPr="00693934" w:rsidRDefault="00721E0A" w:rsidP="00693934">
      <w:pPr>
        <w:pStyle w:val="TableNote"/>
        <w:tabs>
          <w:tab w:val="left" w:pos="5400"/>
        </w:tabs>
        <w:spacing w:line="240" w:lineRule="auto"/>
        <w:ind w:left="720" w:hanging="720"/>
        <w:rPr>
          <w:sz w:val="20"/>
        </w:rPr>
      </w:pPr>
    </w:p>
    <w:p w14:paraId="2F5A1F77" w14:textId="62790F75" w:rsidR="00F8414A" w:rsidRPr="00693934" w:rsidRDefault="00F8414A" w:rsidP="00693934">
      <w:pPr>
        <w:pStyle w:val="TableNote"/>
        <w:tabs>
          <w:tab w:val="left" w:pos="5400"/>
        </w:tabs>
        <w:spacing w:line="240" w:lineRule="auto"/>
        <w:ind w:left="720" w:hanging="720"/>
        <w:rPr>
          <w:sz w:val="20"/>
        </w:rPr>
      </w:pPr>
      <w:r w:rsidRPr="00693934">
        <w:rPr>
          <w:sz w:val="20"/>
        </w:rPr>
        <w:t xml:space="preserve">22 </w:t>
      </w:r>
      <w:r w:rsidR="00FA7EF9" w:rsidRPr="00693934">
        <w:rPr>
          <w:sz w:val="20"/>
        </w:rPr>
        <w:tab/>
      </w:r>
      <w:r w:rsidRPr="00693934">
        <w:rPr>
          <w:sz w:val="20"/>
        </w:rPr>
        <w:t>N/A</w:t>
      </w:r>
      <w:r w:rsidR="00FA7EF9" w:rsidRPr="00693934">
        <w:rPr>
          <w:sz w:val="20"/>
        </w:rPr>
        <w:t xml:space="preserve"> </w:t>
      </w:r>
    </w:p>
    <w:sectPr w:rsidR="00F8414A" w:rsidRPr="00693934" w:rsidSect="002602FB">
      <w:footerReference w:type="even" r:id="rId8"/>
      <w:footerReference w:type="default" r:id="rId9"/>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BBA32" w14:textId="77777777" w:rsidR="00BD4B2F" w:rsidRDefault="00BD4B2F">
      <w:r>
        <w:separator/>
      </w:r>
    </w:p>
  </w:endnote>
  <w:endnote w:type="continuationSeparator" w:id="0">
    <w:p w14:paraId="6ED8FD58" w14:textId="77777777" w:rsidR="00BD4B2F" w:rsidRDefault="00BD4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55888" w14:textId="77777777" w:rsidR="00CE4480" w:rsidRDefault="00CE4480" w:rsidP="002A75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1229BB" w14:textId="77777777" w:rsidR="00CE4480" w:rsidRDefault="00CE4480"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6C439" w14:textId="4621BC57" w:rsidR="002A7573" w:rsidRDefault="002A7573" w:rsidP="00F76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66BB">
      <w:rPr>
        <w:rStyle w:val="PageNumber"/>
        <w:noProof/>
      </w:rPr>
      <w:t>5</w:t>
    </w:r>
    <w:r>
      <w:rPr>
        <w:rStyle w:val="PageNumber"/>
      </w:rPr>
      <w:fldChar w:fldCharType="end"/>
    </w:r>
  </w:p>
  <w:p w14:paraId="73A2AA3A" w14:textId="77777777" w:rsidR="00CE4480" w:rsidRDefault="00CE4480"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A6703" w14:textId="77777777" w:rsidR="00BD4B2F" w:rsidRDefault="00BD4B2F">
      <w:r>
        <w:separator/>
      </w:r>
    </w:p>
  </w:footnote>
  <w:footnote w:type="continuationSeparator" w:id="0">
    <w:p w14:paraId="2A7EE458" w14:textId="77777777" w:rsidR="00BD4B2F" w:rsidRDefault="00BD4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1B25"/>
    <w:rsid w:val="00023515"/>
    <w:rsid w:val="000519F1"/>
    <w:rsid w:val="00056832"/>
    <w:rsid w:val="00093E3A"/>
    <w:rsid w:val="000A3D2A"/>
    <w:rsid w:val="000B6FD4"/>
    <w:rsid w:val="000E691B"/>
    <w:rsid w:val="000F26ED"/>
    <w:rsid w:val="001023BA"/>
    <w:rsid w:val="00110BFB"/>
    <w:rsid w:val="00134AAC"/>
    <w:rsid w:val="00144E4A"/>
    <w:rsid w:val="00154032"/>
    <w:rsid w:val="00183FA6"/>
    <w:rsid w:val="001A495C"/>
    <w:rsid w:val="001A75E9"/>
    <w:rsid w:val="001E02AD"/>
    <w:rsid w:val="00206BF9"/>
    <w:rsid w:val="00211056"/>
    <w:rsid w:val="0021265E"/>
    <w:rsid w:val="00215E03"/>
    <w:rsid w:val="00224268"/>
    <w:rsid w:val="0022554A"/>
    <w:rsid w:val="00226A29"/>
    <w:rsid w:val="0025181A"/>
    <w:rsid w:val="002552FD"/>
    <w:rsid w:val="00257BE0"/>
    <w:rsid w:val="002602FB"/>
    <w:rsid w:val="00273A6C"/>
    <w:rsid w:val="002A6D4D"/>
    <w:rsid w:val="002A7573"/>
    <w:rsid w:val="002B385C"/>
    <w:rsid w:val="002C6D7E"/>
    <w:rsid w:val="002C731D"/>
    <w:rsid w:val="002D06D0"/>
    <w:rsid w:val="002D1ABE"/>
    <w:rsid w:val="002F1A87"/>
    <w:rsid w:val="00325ADC"/>
    <w:rsid w:val="003354B7"/>
    <w:rsid w:val="003508EF"/>
    <w:rsid w:val="0035263B"/>
    <w:rsid w:val="00372129"/>
    <w:rsid w:val="00385050"/>
    <w:rsid w:val="00390E2A"/>
    <w:rsid w:val="003A3FDD"/>
    <w:rsid w:val="003D6058"/>
    <w:rsid w:val="00404566"/>
    <w:rsid w:val="00404D2C"/>
    <w:rsid w:val="004060E6"/>
    <w:rsid w:val="004125A1"/>
    <w:rsid w:val="00417D40"/>
    <w:rsid w:val="004243C8"/>
    <w:rsid w:val="004245FA"/>
    <w:rsid w:val="0045419E"/>
    <w:rsid w:val="0045734B"/>
    <w:rsid w:val="00465542"/>
    <w:rsid w:val="00472DF5"/>
    <w:rsid w:val="0047331B"/>
    <w:rsid w:val="00482F31"/>
    <w:rsid w:val="00495204"/>
    <w:rsid w:val="004A31B3"/>
    <w:rsid w:val="004C493C"/>
    <w:rsid w:val="004D0FE9"/>
    <w:rsid w:val="004E1263"/>
    <w:rsid w:val="004F4860"/>
    <w:rsid w:val="005044A6"/>
    <w:rsid w:val="00514268"/>
    <w:rsid w:val="005217E2"/>
    <w:rsid w:val="00541B86"/>
    <w:rsid w:val="00563940"/>
    <w:rsid w:val="0058569C"/>
    <w:rsid w:val="00590F64"/>
    <w:rsid w:val="005923E5"/>
    <w:rsid w:val="005A3EE2"/>
    <w:rsid w:val="005A3FF5"/>
    <w:rsid w:val="005B15AD"/>
    <w:rsid w:val="005B567D"/>
    <w:rsid w:val="005D0CFC"/>
    <w:rsid w:val="005D19F4"/>
    <w:rsid w:val="005F254A"/>
    <w:rsid w:val="00615B48"/>
    <w:rsid w:val="00624B53"/>
    <w:rsid w:val="006335E9"/>
    <w:rsid w:val="0064600D"/>
    <w:rsid w:val="0065657F"/>
    <w:rsid w:val="006575B9"/>
    <w:rsid w:val="00666336"/>
    <w:rsid w:val="006766BB"/>
    <w:rsid w:val="00683E42"/>
    <w:rsid w:val="00685455"/>
    <w:rsid w:val="00693934"/>
    <w:rsid w:val="006A2F18"/>
    <w:rsid w:val="006A5DD9"/>
    <w:rsid w:val="006B2915"/>
    <w:rsid w:val="006B56D7"/>
    <w:rsid w:val="006C0B63"/>
    <w:rsid w:val="006C7601"/>
    <w:rsid w:val="006D16AA"/>
    <w:rsid w:val="006F66AC"/>
    <w:rsid w:val="00701AC5"/>
    <w:rsid w:val="00711D81"/>
    <w:rsid w:val="00721E0A"/>
    <w:rsid w:val="0074576C"/>
    <w:rsid w:val="00754BA5"/>
    <w:rsid w:val="007562C3"/>
    <w:rsid w:val="007C72F6"/>
    <w:rsid w:val="008113D5"/>
    <w:rsid w:val="00816966"/>
    <w:rsid w:val="00817D26"/>
    <w:rsid w:val="00821CD4"/>
    <w:rsid w:val="008423A7"/>
    <w:rsid w:val="008440CC"/>
    <w:rsid w:val="0089107E"/>
    <w:rsid w:val="00891604"/>
    <w:rsid w:val="008A4E2D"/>
    <w:rsid w:val="008B4D60"/>
    <w:rsid w:val="008C2DFE"/>
    <w:rsid w:val="008D225B"/>
    <w:rsid w:val="00921BF8"/>
    <w:rsid w:val="009367F9"/>
    <w:rsid w:val="00956137"/>
    <w:rsid w:val="009642BE"/>
    <w:rsid w:val="009764D5"/>
    <w:rsid w:val="009872CC"/>
    <w:rsid w:val="009A1C09"/>
    <w:rsid w:val="009B10F1"/>
    <w:rsid w:val="009B15DF"/>
    <w:rsid w:val="009B368D"/>
    <w:rsid w:val="009B4038"/>
    <w:rsid w:val="009C24D4"/>
    <w:rsid w:val="009E0429"/>
    <w:rsid w:val="009E124A"/>
    <w:rsid w:val="009F5211"/>
    <w:rsid w:val="009F5E28"/>
    <w:rsid w:val="00A06CAD"/>
    <w:rsid w:val="00A42352"/>
    <w:rsid w:val="00A527E4"/>
    <w:rsid w:val="00A5640D"/>
    <w:rsid w:val="00A72135"/>
    <w:rsid w:val="00A729D6"/>
    <w:rsid w:val="00A8198D"/>
    <w:rsid w:val="00A938BF"/>
    <w:rsid w:val="00AC20E6"/>
    <w:rsid w:val="00AD43BF"/>
    <w:rsid w:val="00AE2C57"/>
    <w:rsid w:val="00AF4615"/>
    <w:rsid w:val="00B2605D"/>
    <w:rsid w:val="00B50DF8"/>
    <w:rsid w:val="00B54EA0"/>
    <w:rsid w:val="00B60EFB"/>
    <w:rsid w:val="00B65366"/>
    <w:rsid w:val="00B77807"/>
    <w:rsid w:val="00B940E9"/>
    <w:rsid w:val="00B97954"/>
    <w:rsid w:val="00BA1206"/>
    <w:rsid w:val="00BB4A19"/>
    <w:rsid w:val="00BB5C02"/>
    <w:rsid w:val="00BC7FE6"/>
    <w:rsid w:val="00BD4B2F"/>
    <w:rsid w:val="00BE3709"/>
    <w:rsid w:val="00C00C81"/>
    <w:rsid w:val="00C01FAD"/>
    <w:rsid w:val="00C741CD"/>
    <w:rsid w:val="00C80E40"/>
    <w:rsid w:val="00C960AB"/>
    <w:rsid w:val="00CB357F"/>
    <w:rsid w:val="00CB4B87"/>
    <w:rsid w:val="00CB6CC8"/>
    <w:rsid w:val="00CB738D"/>
    <w:rsid w:val="00CC07B1"/>
    <w:rsid w:val="00CC4C93"/>
    <w:rsid w:val="00CE4480"/>
    <w:rsid w:val="00D10D71"/>
    <w:rsid w:val="00D120D2"/>
    <w:rsid w:val="00D20D7C"/>
    <w:rsid w:val="00D26FCA"/>
    <w:rsid w:val="00D37AAB"/>
    <w:rsid w:val="00D46909"/>
    <w:rsid w:val="00D56BFA"/>
    <w:rsid w:val="00D6152F"/>
    <w:rsid w:val="00D6407C"/>
    <w:rsid w:val="00D85494"/>
    <w:rsid w:val="00D87AF7"/>
    <w:rsid w:val="00DA120C"/>
    <w:rsid w:val="00DB1904"/>
    <w:rsid w:val="00DC3D25"/>
    <w:rsid w:val="00DC4BEF"/>
    <w:rsid w:val="00E04103"/>
    <w:rsid w:val="00E10628"/>
    <w:rsid w:val="00E144CD"/>
    <w:rsid w:val="00E2292B"/>
    <w:rsid w:val="00EA6E28"/>
    <w:rsid w:val="00EF3C37"/>
    <w:rsid w:val="00F0059B"/>
    <w:rsid w:val="00F0752A"/>
    <w:rsid w:val="00F378D0"/>
    <w:rsid w:val="00F51FEC"/>
    <w:rsid w:val="00F7113C"/>
    <w:rsid w:val="00F76668"/>
    <w:rsid w:val="00F76A7F"/>
    <w:rsid w:val="00F838E1"/>
    <w:rsid w:val="00F8414A"/>
    <w:rsid w:val="00F842DC"/>
    <w:rsid w:val="00F87029"/>
    <w:rsid w:val="00F876FF"/>
    <w:rsid w:val="00F93A89"/>
    <w:rsid w:val="00F968F7"/>
    <w:rsid w:val="00F970FA"/>
    <w:rsid w:val="00FA0740"/>
    <w:rsid w:val="00FA2721"/>
    <w:rsid w:val="00FA3D11"/>
    <w:rsid w:val="00FA7EF9"/>
    <w:rsid w:val="00FB0DDC"/>
    <w:rsid w:val="00FB5EB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C68BDB"/>
  <w15:docId w15:val="{DA1238A4-95E2-4FC5-B404-3E1540BC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link w:val="CommentTextChar"/>
    <w:uiPriority w:val="99"/>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uiPriority w:val="99"/>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 w:type="character" w:customStyle="1" w:styleId="UnresolvedMention1">
    <w:name w:val="Unresolved Mention1"/>
    <w:basedOn w:val="DefaultParagraphFont"/>
    <w:uiPriority w:val="99"/>
    <w:semiHidden/>
    <w:unhideWhenUsed/>
    <w:rsid w:val="00F8414A"/>
    <w:rPr>
      <w:color w:val="605E5C"/>
      <w:shd w:val="clear" w:color="auto" w:fill="E1DFDD"/>
    </w:rPr>
  </w:style>
  <w:style w:type="character" w:customStyle="1" w:styleId="CommentTextChar">
    <w:name w:val="Comment Text Char"/>
    <w:basedOn w:val="DefaultParagraphFont"/>
    <w:link w:val="CommentText"/>
    <w:uiPriority w:val="99"/>
    <w:rsid w:val="00F87029"/>
    <w:rPr>
      <w:lang w:val="en-GB" w:eastAsia="en-US"/>
    </w:rPr>
  </w:style>
  <w:style w:type="paragraph" w:styleId="NoSpacing">
    <w:name w:val="No Spacing"/>
    <w:uiPriority w:val="1"/>
    <w:qFormat/>
    <w:rsid w:val="00390E2A"/>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robe-stateme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16</TotalTime>
  <Pages>5</Pages>
  <Words>2407</Words>
  <Characters>13720</Characters>
  <Application>Microsoft Office Word</Application>
  <DocSecurity>0</DocSecurity>
  <Lines>114</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16095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Jentes, Emily S. (CDC/DDID/NCEZID/DGMQ)</cp:lastModifiedBy>
  <cp:revision>5</cp:revision>
  <cp:lastPrinted>2007-09-19T09:02:00Z</cp:lastPrinted>
  <dcterms:created xsi:type="dcterms:W3CDTF">2020-02-04T22:39:00Z</dcterms:created>
  <dcterms:modified xsi:type="dcterms:W3CDTF">2020-02-05T20:21:00Z</dcterms:modified>
</cp:coreProperties>
</file>