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BC" w:rsidRPr="00F417CA" w:rsidRDefault="009574BC" w:rsidP="009574BC">
      <w:pPr>
        <w:pStyle w:val="Heading2"/>
        <w:spacing w:after="240"/>
        <w:rPr>
          <w:b/>
        </w:rPr>
      </w:pPr>
      <w:bookmarkStart w:id="0" w:name="_Toc31136908"/>
      <w:bookmarkStart w:id="1" w:name="_GoBack"/>
      <w:bookmarkEnd w:id="1"/>
      <w:r>
        <w:rPr>
          <w:b/>
        </w:rPr>
        <w:t>S2</w:t>
      </w:r>
      <w:r w:rsidR="00931BD5">
        <w:rPr>
          <w:b/>
        </w:rPr>
        <w:t xml:space="preserve"> Text</w:t>
      </w:r>
      <w:r>
        <w:rPr>
          <w:b/>
        </w:rPr>
        <w:t>. Additional D</w:t>
      </w:r>
      <w:r w:rsidRPr="00F417CA">
        <w:rPr>
          <w:b/>
        </w:rPr>
        <w:t xml:space="preserve">etails on </w:t>
      </w:r>
      <w:r>
        <w:rPr>
          <w:b/>
        </w:rPr>
        <w:t>S</w:t>
      </w:r>
      <w:r w:rsidRPr="00F417CA">
        <w:rPr>
          <w:b/>
        </w:rPr>
        <w:t xml:space="preserve">ensitivity </w:t>
      </w:r>
      <w:r>
        <w:rPr>
          <w:b/>
        </w:rPr>
        <w:t>A</w:t>
      </w:r>
      <w:r w:rsidRPr="00F417CA">
        <w:rPr>
          <w:b/>
        </w:rPr>
        <w:t>nalyses</w:t>
      </w:r>
      <w:bookmarkEnd w:id="0"/>
    </w:p>
    <w:p w:rsidR="009574BC" w:rsidRPr="0015238C" w:rsidRDefault="009574BC" w:rsidP="009574BC">
      <w:pPr>
        <w:rPr>
          <w:rFonts w:cs="Times New Roman"/>
          <w:szCs w:val="24"/>
          <w:u w:val="single"/>
        </w:rPr>
      </w:pPr>
      <w:r w:rsidRPr="0015238C">
        <w:rPr>
          <w:rFonts w:cs="Times New Roman"/>
          <w:szCs w:val="24"/>
          <w:u w:val="single"/>
        </w:rPr>
        <w:t>Alternative Goalposts</w:t>
      </w:r>
    </w:p>
    <w:p w:rsidR="009574BC" w:rsidRDefault="009574BC" w:rsidP="009574BC">
      <w:r>
        <w:rPr>
          <w:rFonts w:cs="Times New Roman"/>
          <w:szCs w:val="24"/>
        </w:rPr>
        <w:t>In our main</w:t>
      </w:r>
      <w:r w:rsidRPr="002C31FF">
        <w:rPr>
          <w:rFonts w:cs="Times New Roman"/>
          <w:szCs w:val="24"/>
        </w:rPr>
        <w:t xml:space="preserve"> approach</w:t>
      </w:r>
      <w:r>
        <w:rPr>
          <w:rFonts w:cs="Times New Roman"/>
          <w:szCs w:val="24"/>
        </w:rPr>
        <w:t xml:space="preserve"> to construct a national-level child-based capability index, </w:t>
      </w:r>
      <w:r w:rsidRPr="00226050">
        <w:rPr>
          <w:rFonts w:cs="Times New Roman"/>
          <w:szCs w:val="24"/>
        </w:rPr>
        <w:t xml:space="preserve">we standardized </w:t>
      </w:r>
      <w:r>
        <w:rPr>
          <w:rFonts w:cs="Times New Roman"/>
          <w:szCs w:val="24"/>
        </w:rPr>
        <w:t>the three</w:t>
      </w:r>
      <w:r w:rsidRPr="00226050">
        <w:rPr>
          <w:rFonts w:cs="Times New Roman"/>
          <w:szCs w:val="24"/>
        </w:rPr>
        <w:t xml:space="preserve"> outcomes to the min</w:t>
      </w:r>
      <w:r>
        <w:rPr>
          <w:rFonts w:cs="Times New Roman"/>
          <w:szCs w:val="24"/>
        </w:rPr>
        <w:t>imum</w:t>
      </w:r>
      <w:r w:rsidRPr="00226050">
        <w:rPr>
          <w:rFonts w:cs="Times New Roman"/>
          <w:szCs w:val="24"/>
        </w:rPr>
        <w:t xml:space="preserve"> and max</w:t>
      </w:r>
      <w:r>
        <w:rPr>
          <w:rFonts w:cs="Times New Roman"/>
          <w:szCs w:val="24"/>
        </w:rPr>
        <w:t>imum values</w:t>
      </w:r>
      <w:r w:rsidRPr="00226050">
        <w:rPr>
          <w:rFonts w:cs="Times New Roman"/>
          <w:szCs w:val="24"/>
        </w:rPr>
        <w:t xml:space="preserve"> </w:t>
      </w:r>
      <w:r>
        <w:rPr>
          <w:rFonts w:cs="Times New Roman"/>
          <w:szCs w:val="24"/>
        </w:rPr>
        <w:t>across countries in our</w:t>
      </w:r>
      <w:r w:rsidRPr="00226050">
        <w:rPr>
          <w:rFonts w:cs="Times New Roman"/>
          <w:szCs w:val="24"/>
        </w:rPr>
        <w:t xml:space="preserve"> sample</w:t>
      </w:r>
      <w:r>
        <w:rPr>
          <w:rFonts w:cs="Times New Roman"/>
          <w:szCs w:val="24"/>
        </w:rPr>
        <w:t>. T</w:t>
      </w:r>
      <w:r w:rsidRPr="00B520E4">
        <w:rPr>
          <w:rFonts w:cs="Times New Roman"/>
          <w:szCs w:val="24"/>
        </w:rPr>
        <w:t xml:space="preserve">hese </w:t>
      </w:r>
      <w:r>
        <w:rPr>
          <w:rFonts w:cs="Times New Roman"/>
          <w:szCs w:val="24"/>
        </w:rPr>
        <w:t>goalpost values</w:t>
      </w:r>
      <w:r w:rsidRPr="00B520E4">
        <w:rPr>
          <w:rFonts w:cs="Times New Roman"/>
          <w:szCs w:val="24"/>
        </w:rPr>
        <w:t xml:space="preserve"> act as ‘natural zeros’ and ‘aspirational goals’ from which components are standardized</w:t>
      </w:r>
      <w:r>
        <w:rPr>
          <w:rFonts w:cs="Times New Roman"/>
          <w:szCs w:val="24"/>
        </w:rPr>
        <w:t>. As a sensitivity analysis, we generated</w:t>
      </w:r>
      <w:r w:rsidRPr="002C31FF">
        <w:rPr>
          <w:rFonts w:cs="Times New Roman"/>
          <w:szCs w:val="24"/>
        </w:rPr>
        <w:t xml:space="preserve"> </w:t>
      </w:r>
      <w:r>
        <w:rPr>
          <w:rFonts w:cs="Times New Roman"/>
          <w:szCs w:val="24"/>
        </w:rPr>
        <w:t xml:space="preserve">a child-based capability index using </w:t>
      </w:r>
      <w:r w:rsidRPr="002C31FF">
        <w:rPr>
          <w:rFonts w:cs="Times New Roman"/>
          <w:szCs w:val="24"/>
        </w:rPr>
        <w:t>alternative</w:t>
      </w:r>
      <w:r>
        <w:t xml:space="preserve"> reference values building on the goalposts used to construct the HDI</w:t>
      </w:r>
      <w:r w:rsidR="00E061EF">
        <w:t xml:space="preserve"> (UNDP, 2018)</w:t>
      </w:r>
      <w:r>
        <w:t xml:space="preserve">. </w:t>
      </w:r>
    </w:p>
    <w:p w:rsidR="009574BC" w:rsidRDefault="009574BC" w:rsidP="009574BC">
      <w:pPr>
        <w:rPr>
          <w:rFonts w:cs="Times New Roman"/>
          <w:szCs w:val="24"/>
        </w:rPr>
      </w:pPr>
      <w:r>
        <w:rPr>
          <w:rFonts w:cs="Times New Roman"/>
          <w:szCs w:val="24"/>
        </w:rPr>
        <w:t xml:space="preserve">We constructed three </w:t>
      </w:r>
      <w:proofErr w:type="spellStart"/>
      <w:r>
        <w:rPr>
          <w:rFonts w:cs="Times New Roman"/>
          <w:szCs w:val="24"/>
        </w:rPr>
        <w:t>subindices</w:t>
      </w:r>
      <w:proofErr w:type="spellEnd"/>
      <w:r>
        <w:rPr>
          <w:rFonts w:cs="Times New Roman"/>
          <w:szCs w:val="24"/>
        </w:rPr>
        <w:t xml:space="preserve"> as follows:</w:t>
      </w:r>
    </w:p>
    <w:p w:rsidR="009574BC" w:rsidRPr="001E1748" w:rsidRDefault="009574BC" w:rsidP="009574BC">
      <w:pPr>
        <w:ind w:firstLine="720"/>
        <w:rPr>
          <w:rFonts w:ascii="Cambria Math" w:hAnsi="Cambria Math" w:cs="Times New Roman"/>
          <w:sz w:val="20"/>
          <w:szCs w:val="24"/>
        </w:rPr>
      </w:pPr>
      <w:r w:rsidRPr="001E1748">
        <w:rPr>
          <w:rFonts w:ascii="Cambria Math" w:hAnsi="Cambria Math" w:cs="Times New Roman"/>
          <w:sz w:val="20"/>
          <w:szCs w:val="24"/>
        </w:rPr>
        <w:t xml:space="preserve">Education </w:t>
      </w:r>
      <w:proofErr w:type="spellStart"/>
      <w:r>
        <w:rPr>
          <w:rFonts w:ascii="Cambria Math" w:hAnsi="Cambria Math" w:cs="Times New Roman"/>
          <w:sz w:val="20"/>
          <w:szCs w:val="24"/>
        </w:rPr>
        <w:t>sub</w:t>
      </w:r>
      <w:r w:rsidRPr="001E1748">
        <w:rPr>
          <w:rFonts w:ascii="Cambria Math" w:hAnsi="Cambria Math" w:cs="Times New Roman"/>
          <w:sz w:val="20"/>
          <w:szCs w:val="24"/>
        </w:rPr>
        <w:t>index</w:t>
      </w:r>
      <w:proofErr w:type="spellEnd"/>
      <w:r w:rsidRPr="001E1748">
        <w:rPr>
          <w:rFonts w:ascii="Cambria Math" w:hAnsi="Cambria Math" w:cs="Times New Roman"/>
          <w:sz w:val="20"/>
          <w:szCs w:val="24"/>
        </w:rPr>
        <w:t xml:space="preserve"> (EI) = </w:t>
      </w:r>
      <w:r>
        <w:rPr>
          <w:rFonts w:ascii="Cambria Math" w:hAnsi="Cambria Math" w:cs="Times New Roman"/>
          <w:sz w:val="20"/>
          <w:szCs w:val="24"/>
        </w:rPr>
        <w:t>(</w:t>
      </w:r>
      <w:proofErr w:type="spellStart"/>
      <w:r w:rsidRPr="001E1748">
        <w:rPr>
          <w:rFonts w:ascii="Cambria Math" w:hAnsi="Cambria Math" w:cs="Times New Roman"/>
          <w:sz w:val="20"/>
          <w:szCs w:val="24"/>
        </w:rPr>
        <w:t>Mat</w:t>
      </w:r>
      <w:r>
        <w:rPr>
          <w:rFonts w:ascii="Cambria Math" w:hAnsi="Cambria Math" w:cs="Times New Roman"/>
          <w:sz w:val="20"/>
          <w:szCs w:val="24"/>
        </w:rPr>
        <w:t>ernal_years_of_schooling</w:t>
      </w:r>
      <w:proofErr w:type="spellEnd"/>
      <w:r>
        <w:rPr>
          <w:rFonts w:ascii="Cambria Math" w:hAnsi="Cambria Math" w:cs="Times New Roman"/>
          <w:sz w:val="20"/>
          <w:szCs w:val="24"/>
        </w:rPr>
        <w:t xml:space="preserve"> – 0)/ (15 – 0) ,</w:t>
      </w:r>
      <w:r>
        <w:rPr>
          <w:rFonts w:ascii="Cambria Math" w:hAnsi="Cambria Math" w:cs="Times New Roman"/>
          <w:sz w:val="20"/>
          <w:szCs w:val="24"/>
        </w:rPr>
        <w:tab/>
        <w:t xml:space="preserve"> </w:t>
      </w:r>
      <w:r>
        <w:rPr>
          <w:rFonts w:ascii="Cambria Math" w:hAnsi="Cambria Math" w:cs="Times New Roman"/>
          <w:sz w:val="20"/>
          <w:szCs w:val="24"/>
        </w:rPr>
        <w:tab/>
      </w:r>
      <w:r>
        <w:rPr>
          <w:rFonts w:ascii="Cambria Math" w:hAnsi="Cambria Math" w:cs="Times New Roman"/>
          <w:sz w:val="20"/>
          <w:szCs w:val="24"/>
        </w:rPr>
        <w:tab/>
        <w:t xml:space="preserve"> </w:t>
      </w:r>
      <w:r>
        <w:rPr>
          <w:rFonts w:eastAsiaTheme="minorEastAsia" w:cs="Times New Roman"/>
          <w:sz w:val="20"/>
          <w:szCs w:val="24"/>
        </w:rPr>
        <w:t>(1</w:t>
      </w:r>
      <w:r w:rsidRPr="00785461">
        <w:rPr>
          <w:rFonts w:eastAsiaTheme="minorEastAsia" w:cs="Times New Roman"/>
          <w:sz w:val="20"/>
          <w:szCs w:val="24"/>
        </w:rPr>
        <w:t>)</w:t>
      </w:r>
    </w:p>
    <w:p w:rsidR="009574BC" w:rsidRDefault="009574BC" w:rsidP="009574BC">
      <w:pPr>
        <w:spacing w:after="0"/>
        <w:rPr>
          <w:rFonts w:cs="Times New Roman"/>
          <w:szCs w:val="24"/>
        </w:rPr>
      </w:pPr>
      <w:r w:rsidRPr="001E1748">
        <w:rPr>
          <w:rFonts w:cs="Times New Roman"/>
          <w:szCs w:val="24"/>
        </w:rPr>
        <w:t>where 15 years of maternal schooling is s</w:t>
      </w:r>
      <w:r>
        <w:rPr>
          <w:rFonts w:cs="Times New Roman"/>
          <w:szCs w:val="24"/>
        </w:rPr>
        <w:t xml:space="preserve">et as maximum in our data (15+); </w:t>
      </w:r>
      <w:r w:rsidRPr="001E1748">
        <w:rPr>
          <w:rFonts w:cs="Times New Roman"/>
          <w:szCs w:val="24"/>
        </w:rPr>
        <w:t>and EI = 1 if maternal schooling is 15, and E</w:t>
      </w:r>
      <w:r>
        <w:rPr>
          <w:rFonts w:cs="Times New Roman"/>
          <w:szCs w:val="24"/>
        </w:rPr>
        <w:t>I = 0 if maternal schooling is 0;</w:t>
      </w:r>
    </w:p>
    <w:p w:rsidR="009574BC" w:rsidRDefault="009574BC" w:rsidP="009574BC">
      <w:pPr>
        <w:spacing w:after="0"/>
        <w:rPr>
          <w:rFonts w:cs="Times New Roman"/>
          <w:szCs w:val="24"/>
        </w:rPr>
      </w:pPr>
    </w:p>
    <w:p w:rsidR="009574BC" w:rsidRPr="003928C8" w:rsidRDefault="009574BC" w:rsidP="009574BC">
      <w:pPr>
        <w:ind w:firstLine="720"/>
        <w:rPr>
          <w:rFonts w:ascii="Cambria Math" w:hAnsi="Cambria Math" w:cs="Times New Roman"/>
          <w:sz w:val="20"/>
          <w:szCs w:val="24"/>
        </w:rPr>
      </w:pPr>
      <w:r w:rsidRPr="003928C8">
        <w:rPr>
          <w:rFonts w:ascii="Cambria Math" w:hAnsi="Cambria Math" w:cs="Times New Roman"/>
          <w:sz w:val="20"/>
          <w:szCs w:val="24"/>
        </w:rPr>
        <w:t xml:space="preserve">Child health </w:t>
      </w:r>
      <w:proofErr w:type="spellStart"/>
      <w:r>
        <w:rPr>
          <w:rFonts w:ascii="Cambria Math" w:hAnsi="Cambria Math" w:cs="Times New Roman"/>
          <w:sz w:val="20"/>
          <w:szCs w:val="24"/>
        </w:rPr>
        <w:t>sub</w:t>
      </w:r>
      <w:r w:rsidRPr="003928C8">
        <w:rPr>
          <w:rFonts w:ascii="Cambria Math" w:hAnsi="Cambria Math" w:cs="Times New Roman"/>
          <w:sz w:val="20"/>
          <w:szCs w:val="24"/>
        </w:rPr>
        <w:t>index</w:t>
      </w:r>
      <w:proofErr w:type="spellEnd"/>
      <w:r w:rsidRPr="003928C8">
        <w:rPr>
          <w:rFonts w:ascii="Cambria Math" w:hAnsi="Cambria Math" w:cs="Times New Roman"/>
          <w:sz w:val="20"/>
          <w:szCs w:val="24"/>
        </w:rPr>
        <w:t xml:space="preserve"> (U5</w:t>
      </w:r>
      <w:r>
        <w:rPr>
          <w:rFonts w:ascii="Cambria Math" w:hAnsi="Cambria Math" w:cs="Times New Roman"/>
          <w:sz w:val="20"/>
          <w:szCs w:val="24"/>
        </w:rPr>
        <w:t>M</w:t>
      </w:r>
      <w:r w:rsidRPr="003928C8">
        <w:rPr>
          <w:rFonts w:ascii="Cambria Math" w:hAnsi="Cambria Math" w:cs="Times New Roman"/>
          <w:sz w:val="20"/>
          <w:szCs w:val="24"/>
        </w:rPr>
        <w:t xml:space="preserve">I) = </w:t>
      </w:r>
      <w:r>
        <w:rPr>
          <w:rFonts w:ascii="Cambria Math" w:hAnsi="Cambria Math" w:cs="Times New Roman"/>
          <w:sz w:val="20"/>
          <w:szCs w:val="24"/>
        </w:rPr>
        <w:t>(</w:t>
      </w:r>
      <w:proofErr w:type="spellStart"/>
      <w:r w:rsidRPr="003928C8">
        <w:rPr>
          <w:rFonts w:ascii="Cambria Math" w:hAnsi="Cambria Math" w:cs="Times New Roman"/>
          <w:sz w:val="20"/>
          <w:szCs w:val="24"/>
        </w:rPr>
        <w:t>Under_five_</w:t>
      </w:r>
      <w:r>
        <w:rPr>
          <w:rFonts w:ascii="Cambria Math" w:hAnsi="Cambria Math" w:cs="Times New Roman"/>
          <w:sz w:val="20"/>
          <w:szCs w:val="24"/>
        </w:rPr>
        <w:t>mortality</w:t>
      </w:r>
      <w:proofErr w:type="spellEnd"/>
      <w:r>
        <w:rPr>
          <w:rFonts w:ascii="Cambria Math" w:hAnsi="Cambria Math" w:cs="Times New Roman"/>
          <w:sz w:val="20"/>
          <w:szCs w:val="24"/>
        </w:rPr>
        <w:t xml:space="preserve"> – 0.003)</w:t>
      </w:r>
      <w:r w:rsidRPr="003928C8">
        <w:rPr>
          <w:rFonts w:ascii="Cambria Math" w:hAnsi="Cambria Math" w:cs="Times New Roman"/>
          <w:sz w:val="20"/>
          <w:szCs w:val="24"/>
        </w:rPr>
        <w:t>/</w:t>
      </w:r>
      <w:r>
        <w:rPr>
          <w:rFonts w:ascii="Cambria Math" w:hAnsi="Cambria Math" w:cs="Times New Roman"/>
          <w:sz w:val="20"/>
          <w:szCs w:val="24"/>
        </w:rPr>
        <w:t xml:space="preserve"> (</w:t>
      </w:r>
      <w:r w:rsidRPr="003928C8">
        <w:rPr>
          <w:rFonts w:ascii="Cambria Math" w:hAnsi="Cambria Math" w:cs="Times New Roman"/>
          <w:sz w:val="20"/>
          <w:szCs w:val="24"/>
        </w:rPr>
        <w:t>0.</w:t>
      </w:r>
      <w:r>
        <w:rPr>
          <w:rFonts w:ascii="Cambria Math" w:hAnsi="Cambria Math" w:cs="Times New Roman"/>
          <w:sz w:val="20"/>
          <w:szCs w:val="24"/>
        </w:rPr>
        <w:t>32</w:t>
      </w:r>
      <w:r w:rsidRPr="003928C8">
        <w:rPr>
          <w:rFonts w:ascii="Cambria Math" w:hAnsi="Cambria Math" w:cs="Times New Roman"/>
          <w:sz w:val="20"/>
          <w:szCs w:val="24"/>
        </w:rPr>
        <w:t>0</w:t>
      </w:r>
      <w:r>
        <w:rPr>
          <w:rFonts w:ascii="Cambria Math" w:hAnsi="Cambria Math" w:cs="Times New Roman"/>
          <w:sz w:val="20"/>
          <w:szCs w:val="24"/>
        </w:rPr>
        <w:t xml:space="preserve"> – 0.003), </w:t>
      </w:r>
      <w:r>
        <w:rPr>
          <w:rFonts w:ascii="Cambria Math" w:hAnsi="Cambria Math" w:cs="Times New Roman"/>
          <w:sz w:val="20"/>
          <w:szCs w:val="24"/>
        </w:rPr>
        <w:tab/>
      </w:r>
      <w:r>
        <w:rPr>
          <w:rFonts w:ascii="Cambria Math" w:hAnsi="Cambria Math" w:cs="Times New Roman"/>
          <w:sz w:val="20"/>
          <w:szCs w:val="24"/>
        </w:rPr>
        <w:tab/>
        <w:t xml:space="preserve">  (2)</w:t>
      </w:r>
    </w:p>
    <w:p w:rsidR="009574BC" w:rsidRPr="000029CF" w:rsidRDefault="009574BC" w:rsidP="009574BC">
      <w:pPr>
        <w:spacing w:after="0"/>
        <w:rPr>
          <w:rFonts w:cs="Times New Roman"/>
          <w:szCs w:val="24"/>
        </w:rPr>
      </w:pPr>
      <w:r>
        <w:rPr>
          <w:rFonts w:cs="Times New Roman"/>
          <w:szCs w:val="24"/>
        </w:rPr>
        <w:t>where 3 deaths per 1,000 is set as minimum in our data (</w:t>
      </w:r>
      <w:r w:rsidRPr="000029CF">
        <w:rPr>
          <w:rFonts w:cs="Times New Roman"/>
          <w:szCs w:val="24"/>
          <w:u w:val="single"/>
        </w:rPr>
        <w:t>&lt;</w:t>
      </w:r>
      <w:r>
        <w:rPr>
          <w:rFonts w:cs="Times New Roman"/>
          <w:szCs w:val="24"/>
        </w:rPr>
        <w:t xml:space="preserve"> 3) (Japan, 2017); and U5M</w:t>
      </w:r>
      <w:r w:rsidRPr="001E1748">
        <w:rPr>
          <w:rFonts w:cs="Times New Roman"/>
          <w:szCs w:val="24"/>
        </w:rPr>
        <w:t xml:space="preserve">I = 0 if </w:t>
      </w:r>
      <w:r>
        <w:rPr>
          <w:rFonts w:cs="Times New Roman"/>
          <w:szCs w:val="24"/>
        </w:rPr>
        <w:t>under-five mortality</w:t>
      </w:r>
      <w:r w:rsidRPr="001E1748">
        <w:rPr>
          <w:rFonts w:cs="Times New Roman"/>
          <w:szCs w:val="24"/>
        </w:rPr>
        <w:t xml:space="preserve"> is </w:t>
      </w:r>
      <w:r>
        <w:rPr>
          <w:rFonts w:cs="Times New Roman"/>
          <w:szCs w:val="24"/>
        </w:rPr>
        <w:t>3, and</w:t>
      </w:r>
      <w:r w:rsidRPr="000029CF">
        <w:t xml:space="preserve"> </w:t>
      </w:r>
      <w:r w:rsidRPr="000029CF">
        <w:rPr>
          <w:rFonts w:cs="Times New Roman"/>
          <w:szCs w:val="24"/>
        </w:rPr>
        <w:t xml:space="preserve">U5MI = 1 if under-five mortality is </w:t>
      </w:r>
      <w:r>
        <w:rPr>
          <w:rFonts w:cs="Times New Roman"/>
          <w:szCs w:val="24"/>
        </w:rPr>
        <w:t>320 or more</w:t>
      </w:r>
      <w:r w:rsidRPr="000029CF">
        <w:rPr>
          <w:rFonts w:cs="Times New Roman"/>
          <w:szCs w:val="24"/>
        </w:rPr>
        <w:t xml:space="preserve"> per 1,000</w:t>
      </w:r>
      <w:r>
        <w:rPr>
          <w:rFonts w:cs="Times New Roman"/>
          <w:szCs w:val="24"/>
        </w:rPr>
        <w:t xml:space="preserve"> (Niger, 1991);</w:t>
      </w:r>
    </w:p>
    <w:p w:rsidR="009574BC" w:rsidRDefault="009574BC" w:rsidP="009574BC">
      <w:pPr>
        <w:spacing w:after="0"/>
        <w:rPr>
          <w:rFonts w:cs="Times New Roman"/>
          <w:szCs w:val="24"/>
        </w:rPr>
      </w:pPr>
    </w:p>
    <w:p w:rsidR="009574BC" w:rsidRPr="001E1748" w:rsidRDefault="009574BC" w:rsidP="009574BC">
      <w:pPr>
        <w:ind w:firstLine="720"/>
        <w:rPr>
          <w:rFonts w:ascii="Cambria Math" w:hAnsi="Cambria Math" w:cs="Times New Roman"/>
          <w:sz w:val="20"/>
          <w:szCs w:val="24"/>
        </w:rPr>
      </w:pPr>
      <w:r>
        <w:rPr>
          <w:rFonts w:ascii="Cambria Math" w:hAnsi="Cambria Math" w:cs="Times New Roman"/>
          <w:sz w:val="20"/>
          <w:szCs w:val="24"/>
        </w:rPr>
        <w:t xml:space="preserve">Wealth </w:t>
      </w:r>
      <w:proofErr w:type="spellStart"/>
      <w:r>
        <w:rPr>
          <w:rFonts w:ascii="Cambria Math" w:hAnsi="Cambria Math" w:cs="Times New Roman"/>
          <w:sz w:val="20"/>
          <w:szCs w:val="24"/>
        </w:rPr>
        <w:t>subindex</w:t>
      </w:r>
      <w:proofErr w:type="spellEnd"/>
      <w:r>
        <w:rPr>
          <w:rFonts w:ascii="Cambria Math" w:hAnsi="Cambria Math" w:cs="Times New Roman"/>
          <w:sz w:val="20"/>
          <w:szCs w:val="24"/>
        </w:rPr>
        <w:t xml:space="preserve"> (W</w:t>
      </w:r>
      <w:r w:rsidRPr="001E1748">
        <w:rPr>
          <w:rFonts w:ascii="Cambria Math" w:hAnsi="Cambria Math" w:cs="Times New Roman"/>
          <w:sz w:val="20"/>
          <w:szCs w:val="24"/>
        </w:rPr>
        <w:t xml:space="preserve">I) = </w:t>
      </w:r>
      <w:r>
        <w:rPr>
          <w:rFonts w:ascii="Cambria Math" w:hAnsi="Cambria Math" w:cs="Times New Roman"/>
          <w:sz w:val="20"/>
          <w:szCs w:val="24"/>
        </w:rPr>
        <w:t>(</w:t>
      </w:r>
      <w:proofErr w:type="spellStart"/>
      <w:r>
        <w:rPr>
          <w:rFonts w:ascii="Cambria Math" w:hAnsi="Cambria Math" w:cs="Times New Roman"/>
          <w:sz w:val="20"/>
          <w:szCs w:val="24"/>
        </w:rPr>
        <w:t>Household_wealth_quintile</w:t>
      </w:r>
      <w:proofErr w:type="spellEnd"/>
      <w:r>
        <w:rPr>
          <w:rFonts w:ascii="Cambria Math" w:hAnsi="Cambria Math" w:cs="Times New Roman"/>
          <w:sz w:val="20"/>
          <w:szCs w:val="24"/>
        </w:rPr>
        <w:t xml:space="preserve"> – 1) / (5 – 1) ,   </w:t>
      </w:r>
      <w:r>
        <w:rPr>
          <w:rFonts w:ascii="Cambria Math" w:hAnsi="Cambria Math" w:cs="Times New Roman"/>
          <w:sz w:val="20"/>
          <w:szCs w:val="24"/>
        </w:rPr>
        <w:tab/>
      </w:r>
      <w:r>
        <w:rPr>
          <w:rFonts w:ascii="Cambria Math" w:hAnsi="Cambria Math" w:cs="Times New Roman"/>
          <w:sz w:val="20"/>
          <w:szCs w:val="24"/>
        </w:rPr>
        <w:tab/>
      </w:r>
      <w:r>
        <w:rPr>
          <w:rFonts w:ascii="Cambria Math" w:hAnsi="Cambria Math" w:cs="Times New Roman"/>
          <w:sz w:val="20"/>
          <w:szCs w:val="24"/>
        </w:rPr>
        <w:tab/>
        <w:t xml:space="preserve">  </w:t>
      </w:r>
      <w:r>
        <w:rPr>
          <w:rFonts w:eastAsiaTheme="minorEastAsia" w:cs="Times New Roman"/>
          <w:sz w:val="20"/>
          <w:szCs w:val="24"/>
        </w:rPr>
        <w:t>(3</w:t>
      </w:r>
      <w:r w:rsidRPr="00785461">
        <w:rPr>
          <w:rFonts w:eastAsiaTheme="minorEastAsia" w:cs="Times New Roman"/>
          <w:sz w:val="20"/>
          <w:szCs w:val="24"/>
        </w:rPr>
        <w:t>)</w:t>
      </w:r>
    </w:p>
    <w:p w:rsidR="009574BC" w:rsidRDefault="009574BC" w:rsidP="009574BC">
      <w:pPr>
        <w:rPr>
          <w:rFonts w:cs="Times New Roman"/>
          <w:szCs w:val="24"/>
        </w:rPr>
      </w:pPr>
      <w:r>
        <w:rPr>
          <w:rFonts w:cs="Times New Roman"/>
          <w:szCs w:val="24"/>
        </w:rPr>
        <w:t xml:space="preserve">where 5 is set as maximum in our data; and WI = 1 if wealth quintile is 5, and WI = 0 if wealth quintile is 1. </w:t>
      </w:r>
    </w:p>
    <w:p w:rsidR="009574BC" w:rsidRDefault="009574BC" w:rsidP="009574BC">
      <w:pPr>
        <w:rPr>
          <w:rFonts w:cs="Times New Roman"/>
          <w:szCs w:val="24"/>
        </w:rPr>
      </w:pPr>
      <w:r>
        <w:rPr>
          <w:rFonts w:cs="Times New Roman"/>
          <w:szCs w:val="24"/>
        </w:rPr>
        <w:t xml:space="preserve">We then re-constructed our summary metric for the child-based capability index at the national level using the three </w:t>
      </w:r>
      <w:proofErr w:type="spellStart"/>
      <w:r>
        <w:rPr>
          <w:rFonts w:cs="Times New Roman"/>
          <w:szCs w:val="24"/>
        </w:rPr>
        <w:t>subindices</w:t>
      </w:r>
      <w:proofErr w:type="spellEnd"/>
      <w:r>
        <w:rPr>
          <w:rFonts w:cs="Times New Roman"/>
          <w:szCs w:val="24"/>
        </w:rPr>
        <w:t xml:space="preserve"> described above</w:t>
      </w:r>
      <w:r w:rsidR="00F558B3">
        <w:rPr>
          <w:rFonts w:cs="Times New Roman"/>
          <w:szCs w:val="24"/>
        </w:rPr>
        <w:t xml:space="preserve"> (</w:t>
      </w:r>
      <w:r w:rsidR="004336D0" w:rsidRPr="004336D0">
        <w:rPr>
          <w:rFonts w:cs="Times New Roman"/>
          <w:b/>
          <w:szCs w:val="24"/>
        </w:rPr>
        <w:t>S2</w:t>
      </w:r>
      <w:r w:rsidR="004336D0">
        <w:rPr>
          <w:rFonts w:cs="Times New Roman"/>
          <w:szCs w:val="24"/>
        </w:rPr>
        <w:t xml:space="preserve"> </w:t>
      </w:r>
      <w:r w:rsidR="00681AAF">
        <w:rPr>
          <w:rFonts w:cs="Times New Roman"/>
          <w:b/>
          <w:szCs w:val="24"/>
        </w:rPr>
        <w:t>Table</w:t>
      </w:r>
      <w:r w:rsidR="00F558B3">
        <w:rPr>
          <w:rFonts w:cs="Times New Roman"/>
          <w:szCs w:val="24"/>
        </w:rPr>
        <w:t>)</w:t>
      </w:r>
      <w:r>
        <w:rPr>
          <w:rFonts w:cs="Times New Roman"/>
          <w:szCs w:val="24"/>
        </w:rPr>
        <w:t xml:space="preserve">, rather than normalizing the range to the minimum and maximum values across </w:t>
      </w:r>
      <w:r w:rsidR="000738BF">
        <w:rPr>
          <w:rFonts w:cs="Times New Roman"/>
          <w:szCs w:val="24"/>
        </w:rPr>
        <w:t xml:space="preserve">all 55 </w:t>
      </w:r>
      <w:r>
        <w:rPr>
          <w:rFonts w:cs="Times New Roman"/>
          <w:szCs w:val="24"/>
        </w:rPr>
        <w:t>countries in our sample.</w:t>
      </w:r>
    </w:p>
    <w:p w:rsidR="009574BC" w:rsidRPr="0015238C" w:rsidRDefault="009574BC" w:rsidP="009574BC">
      <w:pPr>
        <w:rPr>
          <w:rFonts w:cs="Times New Roman"/>
          <w:szCs w:val="24"/>
          <w:u w:val="single"/>
        </w:rPr>
      </w:pPr>
      <w:r w:rsidRPr="0015238C">
        <w:rPr>
          <w:rFonts w:cs="Times New Roman"/>
          <w:szCs w:val="24"/>
          <w:u w:val="single"/>
        </w:rPr>
        <w:t>Alternative Outcomes</w:t>
      </w:r>
    </w:p>
    <w:p w:rsidR="009574BC" w:rsidRPr="00FA1494" w:rsidRDefault="009574BC" w:rsidP="009574BC">
      <w:pPr>
        <w:spacing w:after="0"/>
        <w:rPr>
          <w:rFonts w:cs="Times New Roman"/>
          <w:szCs w:val="24"/>
        </w:rPr>
      </w:pPr>
      <w:r>
        <w:rPr>
          <w:rFonts w:cs="Times New Roman"/>
          <w:szCs w:val="24"/>
        </w:rPr>
        <w:t>As a sensitivity analysis, we used infant-survival (defined as survival within the first year of birth) instead of under-five survival. We also examined</w:t>
      </w:r>
      <w:r w:rsidRPr="00FA1494">
        <w:rPr>
          <w:rFonts w:cs="Times New Roman"/>
          <w:szCs w:val="24"/>
        </w:rPr>
        <w:t xml:space="preserve"> </w:t>
      </w:r>
      <w:r>
        <w:rPr>
          <w:rFonts w:cs="Times New Roman"/>
          <w:szCs w:val="24"/>
        </w:rPr>
        <w:t xml:space="preserve">an </w:t>
      </w:r>
      <w:r w:rsidRPr="00FA1494">
        <w:rPr>
          <w:rFonts w:cs="Times New Roman"/>
          <w:szCs w:val="24"/>
        </w:rPr>
        <w:t>alternativ</w:t>
      </w:r>
      <w:r>
        <w:rPr>
          <w:rFonts w:cs="Times New Roman"/>
          <w:szCs w:val="24"/>
        </w:rPr>
        <w:t>e approach</w:t>
      </w:r>
      <w:r w:rsidRPr="00FA1494">
        <w:rPr>
          <w:rFonts w:cs="Times New Roman"/>
          <w:szCs w:val="24"/>
        </w:rPr>
        <w:t xml:space="preserve"> of calcul</w:t>
      </w:r>
      <w:r>
        <w:rPr>
          <w:rFonts w:cs="Times New Roman"/>
          <w:szCs w:val="24"/>
        </w:rPr>
        <w:t>ating under-five child mortality. In our main approach, we</w:t>
      </w:r>
      <w:r w:rsidRPr="00F92C55">
        <w:rPr>
          <w:rFonts w:cs="Times New Roman"/>
          <w:szCs w:val="24"/>
        </w:rPr>
        <w:t xml:space="preserve"> create</w:t>
      </w:r>
      <w:r>
        <w:rPr>
          <w:rFonts w:cs="Times New Roman"/>
          <w:szCs w:val="24"/>
        </w:rPr>
        <w:t>d</w:t>
      </w:r>
      <w:r w:rsidRPr="00F92C55">
        <w:rPr>
          <w:rFonts w:cs="Times New Roman"/>
          <w:szCs w:val="24"/>
        </w:rPr>
        <w:t xml:space="preserve"> a binary variable indicating whether the child was alive o</w:t>
      </w:r>
      <w:r>
        <w:rPr>
          <w:rFonts w:cs="Times New Roman"/>
          <w:szCs w:val="24"/>
        </w:rPr>
        <w:t xml:space="preserve">r not at the time of the survey. As an alternative approach, however, we used </w:t>
      </w:r>
      <w:r w:rsidRPr="00FA1494">
        <w:rPr>
          <w:rFonts w:cs="Times New Roman"/>
          <w:szCs w:val="24"/>
        </w:rPr>
        <w:t>synthet</w:t>
      </w:r>
      <w:r>
        <w:rPr>
          <w:rFonts w:cs="Times New Roman"/>
          <w:szCs w:val="24"/>
        </w:rPr>
        <w:t>ic cohort life tables</w:t>
      </w:r>
      <w:r w:rsidR="00E061EF">
        <w:rPr>
          <w:rFonts w:cs="Times New Roman"/>
          <w:szCs w:val="24"/>
        </w:rPr>
        <w:t xml:space="preserve"> (</w:t>
      </w:r>
      <w:r w:rsidR="00E061EF" w:rsidRPr="007A31E0">
        <w:rPr>
          <w:rFonts w:cs="Times New Roman"/>
          <w:szCs w:val="24"/>
        </w:rPr>
        <w:t>Croft</w:t>
      </w:r>
      <w:r w:rsidR="00E061EF">
        <w:rPr>
          <w:rFonts w:cs="Times New Roman"/>
          <w:szCs w:val="24"/>
        </w:rPr>
        <w:t xml:space="preserve"> et al., 2018)</w:t>
      </w:r>
      <w:r w:rsidRPr="00FA1494">
        <w:rPr>
          <w:rFonts w:cs="Times New Roman"/>
          <w:szCs w:val="24"/>
        </w:rPr>
        <w:t xml:space="preserve">. </w:t>
      </w:r>
      <w:r>
        <w:rPr>
          <w:rFonts w:cs="Times New Roman"/>
          <w:szCs w:val="24"/>
        </w:rPr>
        <w:t>To do so, we combined m</w:t>
      </w:r>
      <w:r w:rsidRPr="00FA1494">
        <w:rPr>
          <w:rFonts w:cs="Times New Roman"/>
          <w:szCs w:val="24"/>
        </w:rPr>
        <w:t>ortality probabilities for small age segments based on real cohort mortality experience into the standard age segments. This approach allows full use of the most recent data and is specific for time periods.</w:t>
      </w:r>
    </w:p>
    <w:p w:rsidR="009574BC" w:rsidRDefault="009574BC" w:rsidP="009574BC">
      <w:pPr>
        <w:spacing w:after="0"/>
        <w:rPr>
          <w:rFonts w:cs="Times New Roman"/>
          <w:szCs w:val="24"/>
        </w:rPr>
      </w:pPr>
    </w:p>
    <w:p w:rsidR="009574BC" w:rsidRDefault="009574BC" w:rsidP="009574BC">
      <w:pPr>
        <w:spacing w:after="0"/>
        <w:rPr>
          <w:rFonts w:cs="Times New Roman"/>
          <w:szCs w:val="24"/>
        </w:rPr>
      </w:pPr>
      <w:r>
        <w:rPr>
          <w:rFonts w:cs="Times New Roman"/>
          <w:szCs w:val="24"/>
        </w:rPr>
        <w:t>In our main analysis, we constructed an international household asset index that allowed comparisons of the child-based capability index across countries</w:t>
      </w:r>
      <w:r w:rsidR="00E061EF">
        <w:rPr>
          <w:rFonts w:cs="Times New Roman"/>
          <w:szCs w:val="24"/>
        </w:rPr>
        <w:t xml:space="preserve"> (</w:t>
      </w:r>
      <w:r w:rsidR="00E061EF" w:rsidRPr="00E061EF">
        <w:rPr>
          <w:rFonts w:cs="Times New Roman"/>
          <w:szCs w:val="24"/>
        </w:rPr>
        <w:t>Poirier</w:t>
      </w:r>
      <w:r w:rsidR="00E061EF">
        <w:rPr>
          <w:rFonts w:cs="Times New Roman"/>
          <w:szCs w:val="24"/>
        </w:rPr>
        <w:t xml:space="preserve"> et al., 2018)</w:t>
      </w:r>
      <w:r>
        <w:rPr>
          <w:rFonts w:cs="Times New Roman"/>
          <w:szCs w:val="24"/>
        </w:rPr>
        <w:t xml:space="preserve">. This </w:t>
      </w:r>
      <w:r>
        <w:rPr>
          <w:rFonts w:cs="Times New Roman"/>
          <w:szCs w:val="24"/>
        </w:rPr>
        <w:lastRenderedPageBreak/>
        <w:t xml:space="preserve">approach however makes the index somewhat more complex to implement by public health practitioners. We therefore present national-level results using the wealth </w:t>
      </w:r>
      <w:r w:rsidRPr="005669D1">
        <w:rPr>
          <w:rFonts w:cs="Times New Roman"/>
          <w:szCs w:val="24"/>
        </w:rPr>
        <w:t xml:space="preserve">index </w:t>
      </w:r>
      <w:r>
        <w:rPr>
          <w:rFonts w:cs="Times New Roman"/>
          <w:szCs w:val="24"/>
        </w:rPr>
        <w:t xml:space="preserve">built into the DHS. The DHS wealth index </w:t>
      </w:r>
      <w:r w:rsidRPr="005669D1">
        <w:rPr>
          <w:rFonts w:cs="Times New Roman"/>
          <w:szCs w:val="24"/>
        </w:rPr>
        <w:t>takes into account country-specific differenc</w:t>
      </w:r>
      <w:r>
        <w:rPr>
          <w:rFonts w:cs="Times New Roman"/>
          <w:szCs w:val="24"/>
        </w:rPr>
        <w:t xml:space="preserve">es and can </w:t>
      </w:r>
      <w:r w:rsidRPr="005669D1">
        <w:rPr>
          <w:rFonts w:cs="Times New Roman"/>
          <w:szCs w:val="24"/>
        </w:rPr>
        <w:t xml:space="preserve">be extended </w:t>
      </w:r>
      <w:r>
        <w:rPr>
          <w:rFonts w:cs="Times New Roman"/>
          <w:szCs w:val="24"/>
        </w:rPr>
        <w:t xml:space="preserve">in a straightforward manner </w:t>
      </w:r>
      <w:r w:rsidRPr="005669D1">
        <w:rPr>
          <w:rFonts w:cs="Times New Roman"/>
          <w:szCs w:val="24"/>
        </w:rPr>
        <w:t xml:space="preserve">to other </w:t>
      </w:r>
      <w:r w:rsidR="0084786F">
        <w:rPr>
          <w:rFonts w:cs="Times New Roman"/>
          <w:szCs w:val="24"/>
        </w:rPr>
        <w:t>settings</w:t>
      </w:r>
      <w:r>
        <w:rPr>
          <w:rFonts w:cs="Times New Roman"/>
          <w:szCs w:val="24"/>
        </w:rPr>
        <w:t xml:space="preserve">. We also </w:t>
      </w:r>
      <w:r w:rsidRPr="00B20FD0">
        <w:rPr>
          <w:rFonts w:cs="Times New Roman"/>
          <w:szCs w:val="24"/>
        </w:rPr>
        <w:t xml:space="preserve">considered </w:t>
      </w:r>
      <w:r>
        <w:rPr>
          <w:rFonts w:cs="Times New Roman"/>
          <w:szCs w:val="24"/>
        </w:rPr>
        <w:t xml:space="preserve">using </w:t>
      </w:r>
      <w:r w:rsidRPr="00B20FD0">
        <w:rPr>
          <w:rFonts w:cs="Times New Roman"/>
          <w:szCs w:val="24"/>
        </w:rPr>
        <w:t>predicted absolute incomes to measure household wealth</w:t>
      </w:r>
      <w:r>
        <w:rPr>
          <w:rFonts w:cs="Times New Roman"/>
          <w:szCs w:val="24"/>
        </w:rPr>
        <w:t xml:space="preserve"> </w:t>
      </w:r>
      <w:r w:rsidRPr="002E3D2E">
        <w:rPr>
          <w:rFonts w:cs="Times New Roman"/>
          <w:szCs w:val="24"/>
        </w:rPr>
        <w:t>by simulating household income from an asset index and macroeconomic data</w:t>
      </w:r>
      <w:r w:rsidR="00E061EF">
        <w:rPr>
          <w:rFonts w:cs="Times New Roman"/>
          <w:szCs w:val="24"/>
        </w:rPr>
        <w:t xml:space="preserve"> (Fink et al., 2017)</w:t>
      </w:r>
      <w:r>
        <w:rPr>
          <w:rFonts w:cs="Times New Roman"/>
          <w:szCs w:val="24"/>
        </w:rPr>
        <w:t>,</w:t>
      </w:r>
      <w:r w:rsidRPr="006B042C">
        <w:rPr>
          <w:rFonts w:cs="Times New Roman"/>
          <w:szCs w:val="24"/>
        </w:rPr>
        <w:t xml:space="preserve"> </w:t>
      </w:r>
      <w:r w:rsidRPr="00B20FD0">
        <w:rPr>
          <w:rFonts w:cs="Times New Roman"/>
          <w:szCs w:val="24"/>
        </w:rPr>
        <w:t>but which would have relied on additional assumptions.</w:t>
      </w:r>
    </w:p>
    <w:p w:rsidR="009574BC" w:rsidRDefault="009574BC" w:rsidP="009574BC">
      <w:pPr>
        <w:spacing w:after="0"/>
        <w:rPr>
          <w:rFonts w:cs="Times New Roman"/>
          <w:szCs w:val="24"/>
        </w:rPr>
      </w:pPr>
    </w:p>
    <w:p w:rsidR="00130B73" w:rsidRPr="00130B73" w:rsidRDefault="00130B73" w:rsidP="00130B73">
      <w:pPr>
        <w:rPr>
          <w:rFonts w:cs="Times New Roman"/>
          <w:szCs w:val="24"/>
          <w:u w:val="single"/>
        </w:rPr>
      </w:pPr>
      <w:r w:rsidRPr="00130B73">
        <w:rPr>
          <w:rFonts w:cs="Times New Roman"/>
          <w:szCs w:val="24"/>
          <w:u w:val="single"/>
        </w:rPr>
        <w:t>Comparison with other Indices</w:t>
      </w:r>
    </w:p>
    <w:p w:rsidR="00130B73" w:rsidRDefault="00130B73" w:rsidP="00130B73">
      <w:pPr>
        <w:spacing w:after="0"/>
        <w:rPr>
          <w:rFonts w:cs="Times New Roman"/>
          <w:szCs w:val="24"/>
        </w:rPr>
      </w:pPr>
      <w:r>
        <w:rPr>
          <w:rFonts w:cs="Times New Roman"/>
          <w:szCs w:val="24"/>
        </w:rPr>
        <w:t>We</w:t>
      </w:r>
      <w:r w:rsidRPr="00A1035B">
        <w:rPr>
          <w:rFonts w:cs="Times New Roman"/>
          <w:szCs w:val="24"/>
        </w:rPr>
        <w:t xml:space="preserve"> show side-by-side comparisons with other commonly used indices at both the </w:t>
      </w:r>
      <w:r>
        <w:rPr>
          <w:rFonts w:cs="Times New Roman"/>
          <w:szCs w:val="24"/>
        </w:rPr>
        <w:t>national and sub-national level</w:t>
      </w:r>
      <w:r w:rsidRPr="00A1035B">
        <w:rPr>
          <w:rFonts w:cs="Times New Roman"/>
          <w:szCs w:val="24"/>
        </w:rPr>
        <w:t>. At the national level, we compare</w:t>
      </w:r>
      <w:r>
        <w:rPr>
          <w:rFonts w:cs="Times New Roman"/>
          <w:szCs w:val="24"/>
        </w:rPr>
        <w:t>d</w:t>
      </w:r>
      <w:r w:rsidRPr="00A1035B">
        <w:rPr>
          <w:rFonts w:cs="Times New Roman"/>
          <w:szCs w:val="24"/>
        </w:rPr>
        <w:t xml:space="preserve"> our child-base</w:t>
      </w:r>
      <w:r>
        <w:rPr>
          <w:rFonts w:cs="Times New Roman"/>
          <w:szCs w:val="24"/>
        </w:rPr>
        <w:t>d</w:t>
      </w:r>
      <w:r w:rsidRPr="00A1035B">
        <w:rPr>
          <w:rFonts w:cs="Times New Roman"/>
          <w:szCs w:val="24"/>
        </w:rPr>
        <w:t xml:space="preserve"> capability index with </w:t>
      </w:r>
      <w:r>
        <w:rPr>
          <w:rFonts w:cs="Times New Roman"/>
          <w:szCs w:val="24"/>
        </w:rPr>
        <w:t xml:space="preserve">the </w:t>
      </w:r>
      <w:r w:rsidRPr="004F5D3F">
        <w:rPr>
          <w:rFonts w:cs="Times New Roman"/>
          <w:szCs w:val="24"/>
        </w:rPr>
        <w:t xml:space="preserve">United Nations Development </w:t>
      </w:r>
      <w:proofErr w:type="spellStart"/>
      <w:r w:rsidRPr="004F5D3F">
        <w:rPr>
          <w:rFonts w:cs="Times New Roman"/>
          <w:szCs w:val="24"/>
        </w:rPr>
        <w:t>Programme</w:t>
      </w:r>
      <w:r w:rsidRPr="00A1035B">
        <w:rPr>
          <w:rFonts w:cs="Times New Roman"/>
          <w:szCs w:val="24"/>
        </w:rPr>
        <w:t>’s</w:t>
      </w:r>
      <w:proofErr w:type="spellEnd"/>
      <w:r w:rsidRPr="00A1035B">
        <w:rPr>
          <w:rFonts w:cs="Times New Roman"/>
          <w:szCs w:val="24"/>
        </w:rPr>
        <w:t xml:space="preserve"> Human Development Index (HDI), the World Bank’s Human Capital Index (HCI), and the Socio-Demographic Index (SDI) developed by the Global Burden of Disease study. We show index values and rankings for each to allow direct comparisons of differences in ranking, as well as differences in the absolute values and range of the index. We find that the correlation </w:t>
      </w:r>
      <w:r>
        <w:rPr>
          <w:rFonts w:cs="Times New Roman"/>
          <w:szCs w:val="24"/>
        </w:rPr>
        <w:t>of</w:t>
      </w:r>
      <w:r w:rsidRPr="00A1035B">
        <w:rPr>
          <w:rFonts w:cs="Times New Roman"/>
          <w:szCs w:val="24"/>
        </w:rPr>
        <w:t xml:space="preserve"> our child-based </w:t>
      </w:r>
      <w:r>
        <w:rPr>
          <w:rFonts w:cs="Times New Roman"/>
          <w:szCs w:val="24"/>
        </w:rPr>
        <w:t xml:space="preserve">capability </w:t>
      </w:r>
      <w:r w:rsidRPr="00A1035B">
        <w:rPr>
          <w:rFonts w:cs="Times New Roman"/>
          <w:szCs w:val="24"/>
        </w:rPr>
        <w:t>index and these commonly used indices at the national level was highest for the SDI (</w:t>
      </w:r>
      <w:r>
        <w:rPr>
          <w:rFonts w:cs="Times New Roman"/>
          <w:i/>
          <w:szCs w:val="24"/>
        </w:rPr>
        <w:t xml:space="preserve">r = </w:t>
      </w:r>
      <w:r w:rsidRPr="00A1035B">
        <w:rPr>
          <w:rFonts w:cs="Times New Roman"/>
          <w:szCs w:val="24"/>
        </w:rPr>
        <w:t xml:space="preserve">0.96, </w:t>
      </w:r>
      <w:r w:rsidRPr="00324F00">
        <w:rPr>
          <w:rFonts w:cs="Times New Roman"/>
          <w:i/>
          <w:szCs w:val="24"/>
        </w:rPr>
        <w:t>p</w:t>
      </w:r>
      <w:r w:rsidRPr="00A1035B">
        <w:rPr>
          <w:rFonts w:cs="Times New Roman"/>
          <w:szCs w:val="24"/>
        </w:rPr>
        <w:t xml:space="preserve">-value </w:t>
      </w:r>
      <w:r>
        <w:rPr>
          <w:rFonts w:cs="Times New Roman"/>
          <w:szCs w:val="24"/>
        </w:rPr>
        <w:t xml:space="preserve">for </w:t>
      </w:r>
      <w:r w:rsidRPr="002B210C">
        <w:rPr>
          <w:rFonts w:cs="Times New Roman"/>
          <w:szCs w:val="24"/>
        </w:rPr>
        <w:t xml:space="preserve">test of </w:t>
      </w:r>
      <w:r>
        <w:rPr>
          <w:rFonts w:cs="Times New Roman"/>
          <w:i/>
          <w:szCs w:val="24"/>
        </w:rPr>
        <w:t>r</w:t>
      </w:r>
      <w:r w:rsidRPr="002B210C">
        <w:rPr>
          <w:rFonts w:cs="Times New Roman"/>
          <w:szCs w:val="24"/>
        </w:rPr>
        <w:t xml:space="preserve"> = 0</w:t>
      </w:r>
      <w:r>
        <w:rPr>
          <w:rFonts w:cs="Times New Roman"/>
          <w:szCs w:val="24"/>
        </w:rPr>
        <w:t xml:space="preserve"> </w:t>
      </w:r>
      <w:r w:rsidRPr="00A1035B">
        <w:rPr>
          <w:rFonts w:cs="Times New Roman"/>
          <w:szCs w:val="24"/>
        </w:rPr>
        <w:t>&lt; 0.01) and lowest for the HCI (</w:t>
      </w:r>
      <w:r>
        <w:rPr>
          <w:rFonts w:cs="Times New Roman"/>
          <w:i/>
          <w:szCs w:val="24"/>
        </w:rPr>
        <w:t xml:space="preserve">r = </w:t>
      </w:r>
      <w:r w:rsidRPr="00A1035B">
        <w:rPr>
          <w:rFonts w:cs="Times New Roman"/>
          <w:szCs w:val="24"/>
        </w:rPr>
        <w:t xml:space="preserve">0.84, </w:t>
      </w:r>
      <w:r w:rsidRPr="00324F00">
        <w:rPr>
          <w:rFonts w:cs="Times New Roman"/>
          <w:i/>
          <w:szCs w:val="24"/>
        </w:rPr>
        <w:t>p</w:t>
      </w:r>
      <w:r w:rsidRPr="00A1035B">
        <w:rPr>
          <w:rFonts w:cs="Times New Roman"/>
          <w:szCs w:val="24"/>
        </w:rPr>
        <w:t xml:space="preserve">-value </w:t>
      </w:r>
      <w:r>
        <w:rPr>
          <w:rFonts w:cs="Times New Roman"/>
          <w:szCs w:val="24"/>
        </w:rPr>
        <w:t xml:space="preserve">for </w:t>
      </w:r>
      <w:r w:rsidRPr="002B210C">
        <w:rPr>
          <w:rFonts w:cs="Times New Roman"/>
          <w:szCs w:val="24"/>
        </w:rPr>
        <w:t xml:space="preserve">test of </w:t>
      </w:r>
      <w:r>
        <w:rPr>
          <w:rFonts w:cs="Times New Roman"/>
          <w:i/>
          <w:szCs w:val="24"/>
        </w:rPr>
        <w:t>r</w:t>
      </w:r>
      <w:r w:rsidRPr="002B210C">
        <w:rPr>
          <w:rFonts w:cs="Times New Roman"/>
          <w:szCs w:val="24"/>
        </w:rPr>
        <w:t xml:space="preserve"> = 0</w:t>
      </w:r>
      <w:r w:rsidRPr="00A1035B">
        <w:rPr>
          <w:rFonts w:cs="Times New Roman"/>
          <w:szCs w:val="24"/>
        </w:rPr>
        <w:t xml:space="preserve"> &lt; 0.01) (</w:t>
      </w:r>
      <w:r w:rsidR="004336D0" w:rsidRPr="004336D0">
        <w:rPr>
          <w:rFonts w:cs="Times New Roman"/>
          <w:b/>
          <w:szCs w:val="24"/>
        </w:rPr>
        <w:t>S3</w:t>
      </w:r>
      <w:r w:rsidR="004336D0">
        <w:rPr>
          <w:rFonts w:cs="Times New Roman"/>
          <w:szCs w:val="24"/>
        </w:rPr>
        <w:t xml:space="preserve"> </w:t>
      </w:r>
      <w:r w:rsidR="00681AAF">
        <w:rPr>
          <w:rFonts w:cs="Times New Roman"/>
          <w:b/>
          <w:szCs w:val="24"/>
        </w:rPr>
        <w:t>Table</w:t>
      </w:r>
      <w:r w:rsidRPr="00A1035B">
        <w:rPr>
          <w:rFonts w:cs="Times New Roman"/>
          <w:szCs w:val="24"/>
        </w:rPr>
        <w:t xml:space="preserve">). </w:t>
      </w:r>
    </w:p>
    <w:p w:rsidR="00130B73" w:rsidRDefault="00130B73" w:rsidP="00130B73">
      <w:pPr>
        <w:spacing w:after="0"/>
        <w:rPr>
          <w:rFonts w:cs="Times New Roman"/>
          <w:szCs w:val="24"/>
        </w:rPr>
      </w:pPr>
    </w:p>
    <w:p w:rsidR="00130B73" w:rsidRDefault="00130B73" w:rsidP="009574BC">
      <w:pPr>
        <w:spacing w:after="0"/>
        <w:rPr>
          <w:rFonts w:cs="Times New Roman"/>
          <w:szCs w:val="24"/>
        </w:rPr>
      </w:pPr>
      <w:r w:rsidRPr="00A1035B">
        <w:rPr>
          <w:rFonts w:cs="Times New Roman"/>
          <w:szCs w:val="24"/>
        </w:rPr>
        <w:t xml:space="preserve">At the sub-national level, we also show direct comparisons with the household-based index developed by Harttgen and </w:t>
      </w:r>
      <w:proofErr w:type="spellStart"/>
      <w:r w:rsidRPr="00A1035B">
        <w:rPr>
          <w:rFonts w:cs="Times New Roman"/>
          <w:szCs w:val="24"/>
        </w:rPr>
        <w:t>Klasen</w:t>
      </w:r>
      <w:proofErr w:type="spellEnd"/>
      <w:r w:rsidRPr="00A1035B">
        <w:rPr>
          <w:rFonts w:cs="Times New Roman"/>
          <w:szCs w:val="24"/>
        </w:rPr>
        <w:t xml:space="preserve"> (2012).</w:t>
      </w:r>
      <w:r>
        <w:rPr>
          <w:rFonts w:cs="Times New Roman"/>
          <w:szCs w:val="24"/>
        </w:rPr>
        <w:t xml:space="preserve"> </w:t>
      </w:r>
      <w:r w:rsidRPr="00A1035B">
        <w:rPr>
          <w:rFonts w:cs="Times New Roman"/>
          <w:szCs w:val="24"/>
        </w:rPr>
        <w:t xml:space="preserve">To do so, we have replicated the household-based index developed by Harttgen and </w:t>
      </w:r>
      <w:proofErr w:type="spellStart"/>
      <w:r w:rsidRPr="00A1035B">
        <w:rPr>
          <w:rFonts w:cs="Times New Roman"/>
          <w:szCs w:val="24"/>
        </w:rPr>
        <w:t>Klasen</w:t>
      </w:r>
      <w:proofErr w:type="spellEnd"/>
      <w:r w:rsidRPr="00A1035B">
        <w:rPr>
          <w:rFonts w:cs="Times New Roman"/>
          <w:szCs w:val="24"/>
        </w:rPr>
        <w:t xml:space="preserve"> while taking the case of Zimbabwe DHS survey (2015) as an example. Our direct comparison of the two methods reveals two findings: </w:t>
      </w:r>
      <w:proofErr w:type="spellStart"/>
      <w:r w:rsidRPr="00A1035B">
        <w:rPr>
          <w:rFonts w:cs="Times New Roman"/>
          <w:szCs w:val="24"/>
        </w:rPr>
        <w:t>i</w:t>
      </w:r>
      <w:proofErr w:type="spellEnd"/>
      <w:r w:rsidRPr="00A1035B">
        <w:rPr>
          <w:rFonts w:cs="Times New Roman"/>
          <w:szCs w:val="24"/>
        </w:rPr>
        <w:t xml:space="preserve">) we find differences in the rank of regions (the region </w:t>
      </w:r>
      <w:proofErr w:type="spellStart"/>
      <w:r w:rsidRPr="00A1035B">
        <w:rPr>
          <w:rFonts w:cs="Times New Roman"/>
          <w:szCs w:val="24"/>
        </w:rPr>
        <w:t>Manicaland</w:t>
      </w:r>
      <w:proofErr w:type="spellEnd"/>
      <w:r w:rsidRPr="00A1035B">
        <w:rPr>
          <w:rFonts w:cs="Times New Roman"/>
          <w:szCs w:val="24"/>
        </w:rPr>
        <w:t xml:space="preserve">, for instance, performs worse on the child-based index, compared to the index developed by Harttgen and </w:t>
      </w:r>
      <w:proofErr w:type="spellStart"/>
      <w:r w:rsidRPr="00A1035B">
        <w:rPr>
          <w:rFonts w:cs="Times New Roman"/>
          <w:szCs w:val="24"/>
        </w:rPr>
        <w:t>Klasen</w:t>
      </w:r>
      <w:proofErr w:type="spellEnd"/>
      <w:r w:rsidRPr="00A1035B">
        <w:rPr>
          <w:rFonts w:cs="Times New Roman"/>
          <w:szCs w:val="24"/>
        </w:rPr>
        <w:t xml:space="preserve"> [difference in rank position: -2]; and ii) our child-base</w:t>
      </w:r>
      <w:r w:rsidR="0048181E">
        <w:rPr>
          <w:rFonts w:cs="Times New Roman"/>
          <w:szCs w:val="24"/>
        </w:rPr>
        <w:t>d index has a wider range (0.445</w:t>
      </w:r>
      <w:r w:rsidRPr="00A1035B">
        <w:rPr>
          <w:rFonts w:cs="Times New Roman"/>
          <w:szCs w:val="24"/>
        </w:rPr>
        <w:t xml:space="preserve"> – 0.7</w:t>
      </w:r>
      <w:r w:rsidR="0048181E">
        <w:rPr>
          <w:rFonts w:cs="Times New Roman"/>
          <w:szCs w:val="24"/>
        </w:rPr>
        <w:t>66</w:t>
      </w:r>
      <w:r w:rsidRPr="00A1035B">
        <w:rPr>
          <w:rFonts w:cs="Times New Roman"/>
          <w:szCs w:val="24"/>
        </w:rPr>
        <w:t xml:space="preserve">, </w:t>
      </w:r>
      <w:r w:rsidR="004336D0" w:rsidRPr="004336D0">
        <w:rPr>
          <w:rFonts w:cs="Times New Roman"/>
          <w:b/>
          <w:szCs w:val="24"/>
        </w:rPr>
        <w:t>S4</w:t>
      </w:r>
      <w:r w:rsidR="004336D0">
        <w:rPr>
          <w:rFonts w:cs="Times New Roman"/>
          <w:szCs w:val="24"/>
        </w:rPr>
        <w:t xml:space="preserve"> </w:t>
      </w:r>
      <w:r w:rsidR="00681AAF">
        <w:rPr>
          <w:rFonts w:cs="Times New Roman"/>
          <w:b/>
          <w:szCs w:val="24"/>
        </w:rPr>
        <w:t>Table</w:t>
      </w:r>
      <w:r w:rsidRPr="00A1035B">
        <w:rPr>
          <w:rFonts w:cs="Times New Roman"/>
          <w:szCs w:val="24"/>
        </w:rPr>
        <w:t xml:space="preserve">), suggesting that the child-based index may pick up </w:t>
      </w:r>
      <w:r>
        <w:rPr>
          <w:rFonts w:cs="Times New Roman"/>
          <w:szCs w:val="24"/>
        </w:rPr>
        <w:t xml:space="preserve">relatively </w:t>
      </w:r>
      <w:r w:rsidRPr="00A1035B">
        <w:rPr>
          <w:rFonts w:cs="Times New Roman"/>
          <w:szCs w:val="24"/>
        </w:rPr>
        <w:t>la</w:t>
      </w:r>
      <w:r>
        <w:rPr>
          <w:rFonts w:cs="Times New Roman"/>
          <w:szCs w:val="24"/>
        </w:rPr>
        <w:t>rger within-country differences.</w:t>
      </w:r>
    </w:p>
    <w:p w:rsidR="00804F3F" w:rsidRDefault="00804F3F" w:rsidP="009574BC">
      <w:pPr>
        <w:spacing w:after="0"/>
        <w:rPr>
          <w:rFonts w:cs="Times New Roman"/>
          <w:szCs w:val="24"/>
        </w:rPr>
      </w:pPr>
    </w:p>
    <w:p w:rsidR="00130B73" w:rsidRDefault="00130B73" w:rsidP="009574BC">
      <w:pPr>
        <w:spacing w:after="0"/>
        <w:rPr>
          <w:rFonts w:cs="Times New Roman"/>
          <w:szCs w:val="24"/>
        </w:rPr>
      </w:pPr>
    </w:p>
    <w:p w:rsidR="009574BC" w:rsidRPr="00E061EF" w:rsidRDefault="009574BC" w:rsidP="009574BC">
      <w:pPr>
        <w:spacing w:after="0"/>
        <w:rPr>
          <w:rFonts w:cs="Times New Roman"/>
          <w:b/>
          <w:szCs w:val="24"/>
        </w:rPr>
      </w:pPr>
      <w:r w:rsidRPr="00E061EF">
        <w:rPr>
          <w:rFonts w:cs="Times New Roman"/>
          <w:b/>
          <w:szCs w:val="24"/>
        </w:rPr>
        <w:t>References:</w:t>
      </w:r>
    </w:p>
    <w:p w:rsidR="009574BC" w:rsidRDefault="009574BC" w:rsidP="009574BC">
      <w:pPr>
        <w:spacing w:after="0"/>
        <w:rPr>
          <w:rFonts w:cs="Times New Roman"/>
          <w:szCs w:val="24"/>
        </w:rPr>
      </w:pPr>
    </w:p>
    <w:p w:rsidR="009574BC" w:rsidRDefault="009574BC" w:rsidP="009574BC">
      <w:pPr>
        <w:spacing w:after="0"/>
        <w:rPr>
          <w:rFonts w:cs="Times New Roman"/>
          <w:szCs w:val="24"/>
        </w:rPr>
      </w:pPr>
      <w:r w:rsidRPr="007A31E0">
        <w:rPr>
          <w:rFonts w:cs="Times New Roman"/>
          <w:szCs w:val="24"/>
        </w:rPr>
        <w:t>Croft T, Aileen M, Courtney K. Guide to DHS Statistics. Rockville, Maryland, USA: ICF, 2018.</w:t>
      </w:r>
    </w:p>
    <w:p w:rsidR="009574BC" w:rsidRDefault="009574BC" w:rsidP="009574BC">
      <w:pPr>
        <w:spacing w:after="0"/>
        <w:rPr>
          <w:rFonts w:cs="Times New Roman"/>
          <w:szCs w:val="24"/>
        </w:rPr>
      </w:pPr>
    </w:p>
    <w:p w:rsidR="009574BC" w:rsidRDefault="009574BC" w:rsidP="009574BC">
      <w:pPr>
        <w:spacing w:after="0"/>
        <w:rPr>
          <w:rFonts w:cs="Times New Roman"/>
          <w:szCs w:val="24"/>
        </w:rPr>
      </w:pPr>
      <w:r w:rsidRPr="007A31E0">
        <w:rPr>
          <w:rFonts w:cs="Times New Roman"/>
          <w:szCs w:val="24"/>
        </w:rPr>
        <w:t xml:space="preserve">Fink G, </w:t>
      </w:r>
      <w:proofErr w:type="spellStart"/>
      <w:r w:rsidRPr="007A31E0">
        <w:rPr>
          <w:rFonts w:cs="Times New Roman"/>
          <w:szCs w:val="24"/>
        </w:rPr>
        <w:t>Victora</w:t>
      </w:r>
      <w:proofErr w:type="spellEnd"/>
      <w:r w:rsidRPr="007A31E0">
        <w:rPr>
          <w:rFonts w:cs="Times New Roman"/>
          <w:szCs w:val="24"/>
        </w:rPr>
        <w:t xml:space="preserve"> CG, Harttgen K, Vollmer S, </w:t>
      </w:r>
      <w:proofErr w:type="spellStart"/>
      <w:r w:rsidRPr="007A31E0">
        <w:rPr>
          <w:rFonts w:cs="Times New Roman"/>
          <w:szCs w:val="24"/>
        </w:rPr>
        <w:t>Vidaletti</w:t>
      </w:r>
      <w:proofErr w:type="spellEnd"/>
      <w:r w:rsidRPr="007A31E0">
        <w:rPr>
          <w:rFonts w:cs="Times New Roman"/>
          <w:szCs w:val="24"/>
        </w:rPr>
        <w:t xml:space="preserve"> LP, Barros AJD. Measuring Socioeconomic Inequalities With Predicted Absolute Incomes Rather Than Wealth Quintiles: A Comparative Assessment Using Child Stunting Data From National Surveys. </w:t>
      </w:r>
      <w:r w:rsidRPr="00E061EF">
        <w:rPr>
          <w:rFonts w:cs="Times New Roman"/>
          <w:i/>
          <w:szCs w:val="24"/>
        </w:rPr>
        <w:t>American Journal of Public Health</w:t>
      </w:r>
      <w:r w:rsidRPr="007A31E0">
        <w:rPr>
          <w:rFonts w:cs="Times New Roman"/>
          <w:szCs w:val="24"/>
        </w:rPr>
        <w:t xml:space="preserve">. 2017;107(4):550-5. </w:t>
      </w:r>
      <w:proofErr w:type="spellStart"/>
      <w:r w:rsidRPr="007A31E0">
        <w:rPr>
          <w:rFonts w:cs="Times New Roman"/>
          <w:szCs w:val="24"/>
        </w:rPr>
        <w:t>doi</w:t>
      </w:r>
      <w:proofErr w:type="spellEnd"/>
      <w:r w:rsidRPr="007A31E0">
        <w:rPr>
          <w:rFonts w:cs="Times New Roman"/>
          <w:szCs w:val="24"/>
        </w:rPr>
        <w:t>: 10.2105/ajph.2017.303657.</w:t>
      </w:r>
    </w:p>
    <w:p w:rsidR="00130B73" w:rsidRDefault="00130B73" w:rsidP="009574BC">
      <w:pPr>
        <w:spacing w:after="0"/>
        <w:rPr>
          <w:rFonts w:cs="Times New Roman"/>
          <w:szCs w:val="24"/>
        </w:rPr>
      </w:pPr>
    </w:p>
    <w:p w:rsidR="00130B73" w:rsidRDefault="00130B73" w:rsidP="00130B73">
      <w:pPr>
        <w:spacing w:after="0"/>
        <w:rPr>
          <w:rFonts w:cs="Times New Roman"/>
          <w:szCs w:val="24"/>
        </w:rPr>
      </w:pPr>
    </w:p>
    <w:p w:rsidR="00130B73" w:rsidRDefault="00130B73" w:rsidP="00130B73">
      <w:pPr>
        <w:spacing w:after="0"/>
        <w:rPr>
          <w:rFonts w:cs="Times New Roman"/>
          <w:szCs w:val="24"/>
        </w:rPr>
      </w:pPr>
      <w:r w:rsidRPr="00F758F0">
        <w:rPr>
          <w:rFonts w:cs="Times New Roman"/>
          <w:szCs w:val="24"/>
        </w:rPr>
        <w:lastRenderedPageBreak/>
        <w:t>Global Burden of Disease Collaborative Network. Global Burden of Disease Study 2017 (GBD 2017) Socio-Demographic Index (SDI) 1950–2017. In: Institute for Health Metrics and Evaluation (IHME), editor. Seattle, United States 2018.</w:t>
      </w:r>
    </w:p>
    <w:p w:rsidR="00130B73" w:rsidRDefault="00130B73" w:rsidP="00130B73">
      <w:pPr>
        <w:spacing w:after="0"/>
        <w:rPr>
          <w:rFonts w:cs="Times New Roman"/>
          <w:szCs w:val="24"/>
        </w:rPr>
      </w:pPr>
    </w:p>
    <w:p w:rsidR="00130B73" w:rsidRDefault="00130B73" w:rsidP="00130B73">
      <w:pPr>
        <w:spacing w:after="0"/>
        <w:rPr>
          <w:rFonts w:cs="Times New Roman"/>
          <w:szCs w:val="24"/>
        </w:rPr>
      </w:pPr>
      <w:r w:rsidRPr="0014233C">
        <w:rPr>
          <w:rFonts w:cs="Times New Roman"/>
          <w:szCs w:val="24"/>
        </w:rPr>
        <w:t xml:space="preserve">Harttgen K, </w:t>
      </w:r>
      <w:proofErr w:type="spellStart"/>
      <w:r w:rsidRPr="0014233C">
        <w:rPr>
          <w:rFonts w:cs="Times New Roman"/>
          <w:szCs w:val="24"/>
        </w:rPr>
        <w:t>Klasen</w:t>
      </w:r>
      <w:proofErr w:type="spellEnd"/>
      <w:r w:rsidRPr="0014233C">
        <w:rPr>
          <w:rFonts w:cs="Times New Roman"/>
          <w:szCs w:val="24"/>
        </w:rPr>
        <w:t xml:space="preserve"> S. A Household-Based Human Development Index. </w:t>
      </w:r>
      <w:r w:rsidRPr="0014233C">
        <w:rPr>
          <w:rFonts w:cs="Times New Roman"/>
          <w:i/>
          <w:szCs w:val="24"/>
        </w:rPr>
        <w:t>World Development</w:t>
      </w:r>
      <w:r w:rsidRPr="0014233C">
        <w:rPr>
          <w:rFonts w:cs="Times New Roman"/>
          <w:szCs w:val="24"/>
        </w:rPr>
        <w:t xml:space="preserve">. 2012;40(5):878-99. </w:t>
      </w:r>
      <w:proofErr w:type="spellStart"/>
      <w:r w:rsidRPr="0014233C">
        <w:rPr>
          <w:rFonts w:cs="Times New Roman"/>
          <w:szCs w:val="24"/>
        </w:rPr>
        <w:t>doi</w:t>
      </w:r>
      <w:proofErr w:type="spellEnd"/>
      <w:r w:rsidRPr="0014233C">
        <w:rPr>
          <w:rFonts w:cs="Times New Roman"/>
          <w:szCs w:val="24"/>
        </w:rPr>
        <w:t>: 10.1016/j.worlddev.2011.09.011.</w:t>
      </w:r>
    </w:p>
    <w:p w:rsidR="00130B73" w:rsidRDefault="00130B73" w:rsidP="00130B73">
      <w:pPr>
        <w:spacing w:after="0"/>
        <w:rPr>
          <w:rFonts w:cs="Times New Roman"/>
          <w:szCs w:val="24"/>
        </w:rPr>
      </w:pPr>
    </w:p>
    <w:p w:rsidR="00130B73" w:rsidRDefault="00130B73" w:rsidP="00130B73">
      <w:pPr>
        <w:spacing w:after="0"/>
        <w:rPr>
          <w:rFonts w:cs="Times New Roman"/>
          <w:szCs w:val="24"/>
        </w:rPr>
      </w:pPr>
      <w:proofErr w:type="spellStart"/>
      <w:r w:rsidRPr="00F758F0">
        <w:rPr>
          <w:rFonts w:cs="Times New Roman"/>
          <w:szCs w:val="24"/>
        </w:rPr>
        <w:t>Kraay</w:t>
      </w:r>
      <w:proofErr w:type="spellEnd"/>
      <w:r w:rsidRPr="00F758F0">
        <w:rPr>
          <w:rFonts w:cs="Times New Roman"/>
          <w:szCs w:val="24"/>
        </w:rPr>
        <w:t xml:space="preserve"> A. Methodology for a World Bank Human Capital Index (English). Washington, D.C.: World Bank Group, 2018.</w:t>
      </w:r>
    </w:p>
    <w:p w:rsidR="00130B73" w:rsidRDefault="00130B73" w:rsidP="00130B73">
      <w:pPr>
        <w:spacing w:after="0"/>
        <w:rPr>
          <w:rFonts w:cs="Times New Roman"/>
          <w:szCs w:val="24"/>
        </w:rPr>
      </w:pPr>
    </w:p>
    <w:p w:rsidR="00130B73" w:rsidRDefault="00130B73" w:rsidP="00130B73">
      <w:pPr>
        <w:spacing w:after="0"/>
        <w:rPr>
          <w:rFonts w:cs="Times New Roman"/>
          <w:szCs w:val="24"/>
        </w:rPr>
      </w:pPr>
      <w:r w:rsidRPr="007A31E0">
        <w:rPr>
          <w:rFonts w:cs="Times New Roman"/>
          <w:szCs w:val="24"/>
        </w:rPr>
        <w:t xml:space="preserve">Poirier MJP, </w:t>
      </w:r>
      <w:proofErr w:type="spellStart"/>
      <w:r w:rsidRPr="007A31E0">
        <w:rPr>
          <w:rFonts w:cs="Times New Roman"/>
          <w:szCs w:val="24"/>
        </w:rPr>
        <w:t>Grignon</w:t>
      </w:r>
      <w:proofErr w:type="spellEnd"/>
      <w:r w:rsidRPr="007A31E0">
        <w:rPr>
          <w:rFonts w:cs="Times New Roman"/>
          <w:szCs w:val="24"/>
        </w:rPr>
        <w:t xml:space="preserve"> M, </w:t>
      </w:r>
      <w:proofErr w:type="spellStart"/>
      <w:r w:rsidRPr="007A31E0">
        <w:rPr>
          <w:rFonts w:cs="Times New Roman"/>
          <w:szCs w:val="24"/>
        </w:rPr>
        <w:t>Grépin</w:t>
      </w:r>
      <w:proofErr w:type="spellEnd"/>
      <w:r w:rsidRPr="007A31E0">
        <w:rPr>
          <w:rFonts w:cs="Times New Roman"/>
          <w:szCs w:val="24"/>
        </w:rPr>
        <w:t xml:space="preserve"> KA, Dion ML. Transnational wealth-related health inequality measurement. </w:t>
      </w:r>
      <w:r w:rsidRPr="00E061EF">
        <w:rPr>
          <w:rFonts w:cs="Times New Roman"/>
          <w:i/>
          <w:szCs w:val="24"/>
        </w:rPr>
        <w:t>SSM - Population Health</w:t>
      </w:r>
      <w:r w:rsidRPr="007A31E0">
        <w:rPr>
          <w:rFonts w:cs="Times New Roman"/>
          <w:szCs w:val="24"/>
        </w:rPr>
        <w:t xml:space="preserve">. 2018;6:259-75. </w:t>
      </w:r>
      <w:proofErr w:type="spellStart"/>
      <w:r w:rsidRPr="007A31E0">
        <w:rPr>
          <w:rFonts w:cs="Times New Roman"/>
          <w:szCs w:val="24"/>
        </w:rPr>
        <w:t>doi</w:t>
      </w:r>
      <w:proofErr w:type="spellEnd"/>
      <w:r w:rsidRPr="007A31E0">
        <w:rPr>
          <w:rFonts w:cs="Times New Roman"/>
          <w:szCs w:val="24"/>
        </w:rPr>
        <w:t>: 10.1016/j.ssmph.2018.10.009.</w:t>
      </w:r>
    </w:p>
    <w:p w:rsidR="00130B73" w:rsidRDefault="00130B73" w:rsidP="00130B73">
      <w:pPr>
        <w:spacing w:after="0"/>
        <w:rPr>
          <w:rFonts w:cs="Times New Roman"/>
          <w:szCs w:val="24"/>
        </w:rPr>
      </w:pPr>
    </w:p>
    <w:p w:rsidR="00130B73" w:rsidRDefault="00130B73" w:rsidP="00130B73">
      <w:pPr>
        <w:spacing w:after="0"/>
        <w:rPr>
          <w:rFonts w:cs="Times New Roman"/>
          <w:szCs w:val="24"/>
        </w:rPr>
      </w:pPr>
      <w:r w:rsidRPr="007A31E0">
        <w:rPr>
          <w:rFonts w:cs="Times New Roman"/>
          <w:szCs w:val="24"/>
        </w:rPr>
        <w:t xml:space="preserve">United Nations Development </w:t>
      </w:r>
      <w:proofErr w:type="spellStart"/>
      <w:r w:rsidRPr="007A31E0">
        <w:rPr>
          <w:rFonts w:cs="Times New Roman"/>
          <w:szCs w:val="24"/>
        </w:rPr>
        <w:t>Programme</w:t>
      </w:r>
      <w:proofErr w:type="spellEnd"/>
      <w:r>
        <w:rPr>
          <w:rFonts w:cs="Times New Roman"/>
          <w:szCs w:val="24"/>
        </w:rPr>
        <w:t xml:space="preserve"> (UNDP)</w:t>
      </w:r>
      <w:r w:rsidRPr="007A31E0">
        <w:rPr>
          <w:rFonts w:cs="Times New Roman"/>
          <w:szCs w:val="24"/>
        </w:rPr>
        <w:t>. Human development indices and indicators: 2018 statistical update. 2018.</w:t>
      </w:r>
    </w:p>
    <w:p w:rsidR="00130B73" w:rsidRDefault="00130B73" w:rsidP="00130B73">
      <w:pPr>
        <w:spacing w:after="0"/>
        <w:rPr>
          <w:rFonts w:cs="Times New Roman"/>
          <w:szCs w:val="24"/>
        </w:rPr>
      </w:pPr>
    </w:p>
    <w:p w:rsidR="00130B73" w:rsidRDefault="00130B73" w:rsidP="009574BC">
      <w:pPr>
        <w:spacing w:after="0"/>
        <w:rPr>
          <w:rFonts w:cs="Times New Roman"/>
          <w:szCs w:val="24"/>
        </w:rPr>
      </w:pPr>
    </w:p>
    <w:p w:rsidR="00CD484B" w:rsidRDefault="00CD484B"/>
    <w:sectPr w:rsidR="00CD4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BC"/>
    <w:rsid w:val="000738BF"/>
    <w:rsid w:val="00087796"/>
    <w:rsid w:val="00130B73"/>
    <w:rsid w:val="004336D0"/>
    <w:rsid w:val="0048181E"/>
    <w:rsid w:val="00681AAF"/>
    <w:rsid w:val="007D6401"/>
    <w:rsid w:val="00804F3F"/>
    <w:rsid w:val="00831DE3"/>
    <w:rsid w:val="0084786F"/>
    <w:rsid w:val="00931BD5"/>
    <w:rsid w:val="009574BC"/>
    <w:rsid w:val="00C74FC4"/>
    <w:rsid w:val="00CD484B"/>
    <w:rsid w:val="00E04AC9"/>
    <w:rsid w:val="00E061EF"/>
    <w:rsid w:val="00E618D1"/>
    <w:rsid w:val="00F4505A"/>
    <w:rsid w:val="00F5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A52A"/>
  <w15:chartTrackingRefBased/>
  <w15:docId w15:val="{1FBE7CC0-AB2F-4EBE-9212-12D3F3F6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BC"/>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9574BC"/>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4BC"/>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Jan-Walter De Neve</dc:creator>
  <cp:keywords/>
  <dc:description/>
  <cp:lastModifiedBy>Jan-Walter De Neve</cp:lastModifiedBy>
  <cp:revision>17</cp:revision>
  <dcterms:created xsi:type="dcterms:W3CDTF">2020-01-30T11:17:00Z</dcterms:created>
  <dcterms:modified xsi:type="dcterms:W3CDTF">2020-02-26T15:33:00Z</dcterms:modified>
</cp:coreProperties>
</file>