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"/>
        <w:gridCol w:w="1105"/>
        <w:gridCol w:w="1984"/>
        <w:gridCol w:w="993"/>
        <w:gridCol w:w="1984"/>
        <w:gridCol w:w="1985"/>
        <w:gridCol w:w="1984"/>
        <w:gridCol w:w="236"/>
        <w:gridCol w:w="2032"/>
        <w:gridCol w:w="1985"/>
      </w:tblGrid>
      <w:tr w:rsidR="008C4EE5" w:rsidRPr="00E32E24" w:rsidTr="000A21FB">
        <w:trPr>
          <w:trHeight w:hRule="exact" w:val="743"/>
        </w:trPr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198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i/>
                <w:sz w:val="14"/>
                <w:szCs w:val="14"/>
                <w:lang w:val="en-GB"/>
              </w:rPr>
              <w:t>Average alcohol intake (grams per day)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en-GB"/>
              </w:rPr>
            </w:pPr>
          </w:p>
        </w:tc>
      </w:tr>
      <w:tr w:rsidR="008C4EE5" w:rsidRPr="00E32E24" w:rsidTr="009C1D21">
        <w:trPr>
          <w:trHeight w:hRule="exact" w:val="997"/>
        </w:trPr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EE5" w:rsidRPr="009D0CC1" w:rsidRDefault="008C4EE5" w:rsidP="008C6E58">
            <w:pPr>
              <w:spacing w:line="240" w:lineRule="auto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 xml:space="preserve">HR (95 % CI) in </w:t>
            </w:r>
            <w:r>
              <w:rPr>
                <w:rFonts w:cs="Arial"/>
                <w:b/>
                <w:sz w:val="14"/>
                <w:szCs w:val="14"/>
                <w:lang w:val="en-GB"/>
              </w:rPr>
              <w:br/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the</w:t>
            </w:r>
            <w:r>
              <w:rPr>
                <w:rFonts w:cs="Arial"/>
                <w:b/>
                <w:sz w:val="14"/>
                <w:szCs w:val="14"/>
                <w:lang w:val="en-GB"/>
              </w:rPr>
              <w:t xml:space="preserve"> 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 xml:space="preserve">sample and </w:t>
            </w:r>
            <w:r>
              <w:rPr>
                <w:rFonts w:cs="Arial"/>
                <w:b/>
                <w:sz w:val="14"/>
                <w:szCs w:val="14"/>
                <w:lang w:val="en-GB"/>
              </w:rPr>
              <w:br/>
            </w:r>
            <w:r w:rsidR="008C6E58">
              <w:rPr>
                <w:rFonts w:cs="Arial"/>
                <w:b/>
                <w:sz w:val="14"/>
                <w:szCs w:val="14"/>
                <w:lang w:val="en-GB"/>
              </w:rPr>
              <w:t>i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n</w:t>
            </w:r>
            <w:r>
              <w:rPr>
                <w:rFonts w:cs="Arial"/>
                <w:b/>
                <w:sz w:val="14"/>
                <w:szCs w:val="14"/>
                <w:lang w:val="en-GB"/>
              </w:rPr>
              <w:t xml:space="preserve"> 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strata</w:t>
            </w:r>
            <w:r>
              <w:rPr>
                <w:rFonts w:cs="Arial"/>
                <w:b/>
                <w:sz w:val="14"/>
                <w:szCs w:val="14"/>
                <w:lang w:val="en-GB"/>
              </w:rPr>
              <w:t xml:space="preserve"> 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 xml:space="preserve">of the </w:t>
            </w:r>
            <w:r>
              <w:rPr>
                <w:rFonts w:cs="Arial"/>
                <w:b/>
                <w:sz w:val="14"/>
                <w:szCs w:val="14"/>
                <w:lang w:val="en-GB"/>
              </w:rPr>
              <w:br/>
            </w:r>
            <w:r w:rsidR="008C6E58">
              <w:rPr>
                <w:rFonts w:cs="Arial"/>
                <w:b/>
                <w:sz w:val="14"/>
                <w:szCs w:val="14"/>
                <w:lang w:val="en-GB"/>
              </w:rPr>
              <w:t xml:space="preserve">mental health </w:t>
            </w:r>
            <w:r w:rsidR="008C6E58">
              <w:rPr>
                <w:rFonts w:cs="Arial"/>
                <w:b/>
                <w:sz w:val="14"/>
                <w:szCs w:val="14"/>
                <w:lang w:val="en-GB"/>
              </w:rPr>
              <w:br/>
              <w:t>i</w:t>
            </w:r>
            <w:bookmarkStart w:id="0" w:name="_GoBack"/>
            <w:bookmarkEnd w:id="0"/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ndex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Current</w:t>
            </w:r>
          </w:p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abstainer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br/>
              <w:t>(n = 22,496)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Low</w:t>
            </w:r>
          </w:p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&lt;2 g/day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br/>
              <w:t>(n = 85,961)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Light</w:t>
            </w:r>
          </w:p>
          <w:p w:rsidR="008C4EE5" w:rsidRPr="009D0CC1" w:rsidRDefault="008C4EE5" w:rsidP="003F0D08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2 – 1</w:t>
            </w:r>
            <w:r w:rsidR="003F0D08">
              <w:rPr>
                <w:rFonts w:cs="Arial"/>
                <w:b/>
                <w:sz w:val="14"/>
                <w:szCs w:val="14"/>
                <w:lang w:val="en-GB"/>
              </w:rPr>
              <w:t>1.99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 xml:space="preserve"> g/day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br/>
              <w:t>(n = 116,170)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Moderate</w:t>
            </w:r>
          </w:p>
          <w:p w:rsidR="008C4EE5" w:rsidRPr="009D0CC1" w:rsidRDefault="003F0D08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>
              <w:rPr>
                <w:rFonts w:cs="Arial"/>
                <w:b/>
                <w:sz w:val="14"/>
                <w:szCs w:val="14"/>
                <w:lang w:val="en-GB"/>
              </w:rPr>
              <w:t>12 – 23.99</w:t>
            </w:r>
            <w:r w:rsidR="008C4EE5" w:rsidRPr="009D0CC1">
              <w:rPr>
                <w:rFonts w:cs="Arial"/>
                <w:b/>
                <w:sz w:val="14"/>
                <w:szCs w:val="14"/>
                <w:lang w:val="en-GB"/>
              </w:rPr>
              <w:t xml:space="preserve"> g/day</w:t>
            </w:r>
          </w:p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(n =15,944)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High</w:t>
            </w:r>
          </w:p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≥24 g/day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br/>
              <w:t>(n = 2801)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 xml:space="preserve">Per 5 g/day 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br/>
              <w:t xml:space="preserve">increase among </w:t>
            </w: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br/>
              <w:t>current drinkers</w:t>
            </w:r>
          </w:p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b/>
                <w:sz w:val="14"/>
                <w:szCs w:val="14"/>
                <w:lang w:val="en-GB"/>
              </w:rPr>
              <w:t>(n = 220,876)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b/>
                <w:i/>
                <w:sz w:val="14"/>
                <w:szCs w:val="14"/>
                <w:lang w:val="en-GB"/>
              </w:rPr>
            </w:pPr>
            <w:r w:rsidRPr="00197E20">
              <w:rPr>
                <w:rFonts w:cs="Arial"/>
                <w:b/>
                <w:sz w:val="14"/>
                <w:szCs w:val="16"/>
                <w:lang w:val="en-GB"/>
              </w:rPr>
              <w:t>Difference in slope</w:t>
            </w:r>
            <w:r w:rsidRPr="00197E20">
              <w:rPr>
                <w:rFonts w:cs="Arial"/>
                <w:b/>
                <w:sz w:val="14"/>
                <w:szCs w:val="16"/>
                <w:lang w:val="en-GB"/>
              </w:rPr>
              <w:br/>
              <w:t>(interaction term)</w:t>
            </w:r>
          </w:p>
        </w:tc>
      </w:tr>
      <w:tr w:rsidR="008C4EE5" w:rsidRPr="009D0CC1" w:rsidTr="009C1D21">
        <w:trPr>
          <w:trHeight w:hRule="exact" w:val="227"/>
        </w:trPr>
        <w:tc>
          <w:tcPr>
            <w:tcW w:w="1418" w:type="dxa"/>
            <w:gridSpan w:val="2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i/>
                <w:sz w:val="14"/>
                <w:szCs w:val="14"/>
                <w:u w:val="single"/>
                <w:lang w:val="en-GB"/>
              </w:rPr>
            </w:pPr>
            <w:r w:rsidRPr="009D0CC1">
              <w:rPr>
                <w:rFonts w:cs="Arial"/>
                <w:i/>
                <w:sz w:val="14"/>
                <w:szCs w:val="14"/>
                <w:u w:val="single"/>
                <w:lang w:val="en-GB"/>
              </w:rPr>
              <w:t>All-cause mortality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i/>
                <w:sz w:val="14"/>
                <w:szCs w:val="14"/>
                <w:u w:val="single"/>
                <w:lang w:val="en-GB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236" w:type="dxa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</w:tr>
      <w:tr w:rsidR="008C4EE5" w:rsidRPr="009D0CC1" w:rsidTr="009C1D21">
        <w:trPr>
          <w:trHeight w:hRule="exact" w:val="22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Unadjusted</w:t>
            </w:r>
          </w:p>
        </w:tc>
        <w:tc>
          <w:tcPr>
            <w:tcW w:w="1984" w:type="dxa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8C4EE5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u w:val="single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u w:val="single"/>
                <w:lang w:val="en-GB"/>
              </w:rPr>
              <w:t>Overall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US"/>
              </w:rPr>
              <w:t>2.01 (1.94, 2.08),</w:t>
            </w:r>
            <w:r w:rsidRPr="009D0CC1">
              <w:rPr>
                <w:rFonts w:cs="Arial"/>
                <w:color w:val="000000"/>
                <w:sz w:val="14"/>
                <w:szCs w:val="14"/>
              </w:rPr>
              <w:t xml:space="preserve">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US"/>
              </w:rPr>
              <w:t>0.61 (0.59, 0.63),</w:t>
            </w:r>
            <w:r w:rsidRPr="009D0CC1">
              <w:rPr>
                <w:rFonts w:cs="Arial"/>
                <w:color w:val="000000"/>
                <w:sz w:val="14"/>
                <w:szCs w:val="14"/>
              </w:rPr>
              <w:t xml:space="preserve">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US"/>
              </w:rPr>
              <w:t xml:space="preserve">0.77 (0.72, </w:t>
            </w:r>
            <w:r w:rsidRPr="009D0CC1">
              <w:rPr>
                <w:rFonts w:cs="Arial"/>
                <w:color w:val="000000"/>
                <w:sz w:val="14"/>
                <w:szCs w:val="14"/>
              </w:rPr>
              <w:t>0.82), p &lt; 0.001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1.40 (1.26, 1.55), p 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0.97 (0.95, 0.98),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8C4EE5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 – 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1.92 (1.83, 2.02),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0.62 (0.59, 0.64),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0.76 (0.70, 0.82), p &lt; 0.001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1.20 (1.02, 1.42), p = 0.029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0.92 (0.90, 0.94),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GB"/>
              </w:rPr>
              <w:t>Referent</w:t>
            </w:r>
          </w:p>
        </w:tc>
      </w:tr>
      <w:tr w:rsidR="008C4EE5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C4EE5" w:rsidRPr="009D0CC1" w:rsidRDefault="003F0D08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1.51</w:t>
            </w:r>
            <w:r w:rsidR="008C4EE5" w:rsidRPr="009D0CC1">
              <w:rPr>
                <w:rFonts w:cs="Arial"/>
                <w:sz w:val="14"/>
                <w:szCs w:val="14"/>
                <w:lang w:val="en-GB"/>
              </w:rPr>
              <w:t xml:space="preserve"> – 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2.07 (1.94, 2.22),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0.56 (0.53, 0.60),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0.73 (0.65, 0.81), p &lt; 0.001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1.36 (1.13, 1.63), p =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0.95 (0.92, 0.97),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1.03 (0.99, 1.06), p = 0.137</w:t>
            </w:r>
          </w:p>
        </w:tc>
      </w:tr>
      <w:tr w:rsidR="008C4EE5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C4EE5" w:rsidRPr="009D0CC1" w:rsidRDefault="003F0D08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2.01</w:t>
            </w:r>
            <w:r w:rsidR="008C4EE5" w:rsidRPr="009D0CC1">
              <w:rPr>
                <w:rFonts w:cs="Arial"/>
                <w:sz w:val="14"/>
                <w:szCs w:val="14"/>
                <w:lang w:val="en-GB"/>
              </w:rPr>
              <w:t xml:space="preserve"> – 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2.09 (1.90, 2.30),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0.70 (0.64, 0.77),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0.86 (0.74, 1.01), p = 0.065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1.65 (1.34, 2.03), p 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1.06 (1.04, 1.09),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1.15 (1.12, 1.19), p &lt; 0.001</w:t>
            </w:r>
          </w:p>
        </w:tc>
      </w:tr>
      <w:tr w:rsidR="008C4EE5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8C4EE5" w:rsidRPr="009D0CC1" w:rsidTr="009C1D21">
        <w:trPr>
          <w:trHeight w:hRule="exact" w:val="22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+ age and sex </w:t>
            </w:r>
          </w:p>
        </w:tc>
        <w:tc>
          <w:tcPr>
            <w:tcW w:w="1984" w:type="dxa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8C4EE5" w:rsidRPr="00292037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rPr>
                <w:rFonts w:cs="Arial"/>
                <w:sz w:val="14"/>
                <w:szCs w:val="14"/>
                <w:u w:val="single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u w:val="single"/>
                <w:lang w:val="en-GB"/>
              </w:rPr>
              <w:t>Overall</w:t>
            </w:r>
          </w:p>
        </w:tc>
        <w:tc>
          <w:tcPr>
            <w:tcW w:w="1984" w:type="dxa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1.16 (1.12, 1.20), p &lt; 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0.89 (0.86, 0.92),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1.05 (0.98, 1.11), p = 0.154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1.53 (1.38, 1.71), p 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292037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US"/>
              </w:rPr>
              <w:t>1.04 (1.03, 1.05),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EE5" w:rsidRPr="009D0CC1" w:rsidRDefault="008C4EE5" w:rsidP="009C1D21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 – 1.50</w:t>
            </w: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US"/>
              </w:rPr>
              <w:t>1.11 (1.05, 1.16)</w:t>
            </w:r>
            <w:r w:rsidRPr="009D0CC1">
              <w:rPr>
                <w:rFonts w:cs="Arial"/>
                <w:color w:val="000000"/>
                <w:sz w:val="14"/>
                <w:szCs w:val="14"/>
              </w:rPr>
              <w:t>, p &lt; 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US"/>
              </w:rPr>
              <w:t>0.91 (0.87, 0.95)</w:t>
            </w:r>
            <w:r w:rsidRPr="009D0CC1">
              <w:rPr>
                <w:rFonts w:cs="Arial"/>
                <w:color w:val="000000"/>
                <w:sz w:val="14"/>
                <w:szCs w:val="14"/>
              </w:rPr>
              <w:t>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US"/>
              </w:rPr>
              <w:t>1.01 (0.93, 1.10), p = 0.816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US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US"/>
              </w:rPr>
              <w:t>1.23 (1.04, 1.45), p = 0.016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US"/>
              </w:rPr>
              <w:t>1.01 (0.99, 1.03), p = 0.331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GB"/>
              </w:rPr>
              <w:t>Referent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1.51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2.00</w:t>
            </w: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1.19 (1.11, 1.28), p &lt; 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0.84 (0.79, 0.90),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1.02 (0.91, 1.14), p = 0.734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1.40 (1.16, 1.69), p 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1.02 (1.00, 1.04), p = 0.065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1.02 (0.99, 1.05), p = 0.180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2.01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4.00</w:t>
            </w: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1.26 (1.14, 1.39), p &lt; 0.001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0.95 (0.87, 1.05), p = 0.298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1.16 (0.99, 1.37), p = 0.065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2.32 (1.87, 2.86), p 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1.10 (1.08, 1.12),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1.11 (1.08, 1.14), p &lt; 0.001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+ multivariable</w:t>
            </w: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u w:val="single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u w:val="single"/>
                <w:lang w:val="en-GB"/>
              </w:rPr>
              <w:t>Overall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1.19 (1.15, 1.24),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0.93 (0.90, 0.96),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1.03 (0.97, 1.09), p = 0.386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1.33 (1.19, 1.48), p 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1.03 (1.02, 1.04),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GB"/>
              </w:rPr>
              <w:t>–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 – 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1.18 (1.12, 1.24),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0.95 (0.91, 0.99), p = 0.011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1.03 (0.94, 1.12), p = 0.514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1.17 (0.99, 1.38), p = 0.069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1.01 (0.99, 1.03), p = 0.176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GB"/>
              </w:rPr>
              <w:t>Referent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1.51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1.24 (1.15, 1.33),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0.89 (0.83, 0.94),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0.99 (0.88, 1.11), p = 0.841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1.25 (1.04, 1.51), p = 0.024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1.01 (0.99, 1.03), p = 0.375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 xml:space="preserve">1.01 (0.98, 1.03), </w:t>
            </w:r>
            <w:r w:rsidRPr="009D0CC1">
              <w:rPr>
                <w:rFonts w:cs="Arial"/>
                <w:i/>
                <w:color w:val="000000"/>
                <w:sz w:val="14"/>
                <w:szCs w:val="14"/>
              </w:rPr>
              <w:t xml:space="preserve">p </w:t>
            </w:r>
            <w:r w:rsidRPr="009D0CC1">
              <w:rPr>
                <w:rFonts w:cs="Arial"/>
                <w:color w:val="000000"/>
                <w:sz w:val="14"/>
                <w:szCs w:val="14"/>
              </w:rPr>
              <w:t>= 0.659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2.01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1.18 (1.06, 1.30), p = 0.002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0.97 (0.88, 1.07), p = 0.511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1.09 (0.92, 1.28), p = 0.334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1.66 (1.34, 2.06), p &lt; 0.001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1.06 (1.04, 1.08),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 xml:space="preserve">1.07 (1.04, 1.10), </w:t>
            </w:r>
            <w:r w:rsidRPr="009D0CC1">
              <w:rPr>
                <w:rFonts w:cs="Arial"/>
                <w:i/>
                <w:color w:val="000000"/>
                <w:sz w:val="14"/>
                <w:szCs w:val="14"/>
              </w:rPr>
              <w:t xml:space="preserve">p </w:t>
            </w:r>
            <w:r w:rsidRPr="009D0CC1">
              <w:rPr>
                <w:rFonts w:cs="Arial"/>
                <w:color w:val="000000"/>
                <w:sz w:val="14"/>
                <w:szCs w:val="14"/>
              </w:rPr>
              <w:t>&lt; 0.001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i/>
                <w:sz w:val="14"/>
                <w:szCs w:val="14"/>
                <w:u w:val="single"/>
                <w:lang w:val="en-GB"/>
              </w:rPr>
            </w:pPr>
            <w:r w:rsidRPr="009D0CC1">
              <w:rPr>
                <w:rFonts w:cs="Arial"/>
                <w:i/>
                <w:sz w:val="14"/>
                <w:szCs w:val="14"/>
                <w:u w:val="single"/>
                <w:lang w:val="en-GB"/>
              </w:rPr>
              <w:t>CVD mortality</w:t>
            </w: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Unadjusted</w:t>
            </w: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u w:val="single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u w:val="single"/>
                <w:lang w:val="en-GB"/>
              </w:rPr>
              <w:t>Overall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2.39 (2.25, 2.55),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0.49 (0.47, 0.52),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0.57 (0.50, 0.64), p &lt; 0.001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0.96 (0.76, 1.20), p = 0.690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0.85 (0.82, 0.88),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 – 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2.30 (2.12, 2.49),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0.52 (0.48, 0.56),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0.56 (0.48, 0.66), p &lt; 0.001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0.88 (0.63, 1.24), p = 0.468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0.81 (0.77, 0.84),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GB"/>
              </w:rPr>
              <w:t>Referent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1.51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2.44 (2.18, 2.72),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0.45 (0.40, 0.50),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0.59 (0.48, 0.73), p &lt; 0.001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0.88 (0.59, 1.31), p = 0.517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0.82 (0.77, 0.87),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1.02 (0.95, 1.09), p = 0.643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2.01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2.62 (2.22, 3.10),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0.53 (0.44, 0.63),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0.52 (0.36, 0.75), p &lt; 0.001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1.15 (0.73, 1.81), p = 0.543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1.01 (0.95, 1.06), p = 0.818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1.25 (1.16, 1.34), p &lt; 0.001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+ age and sex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u w:val="single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u w:val="single"/>
                <w:lang w:val="en-GB"/>
              </w:rPr>
              <w:t>Overall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1.28 (1.21, 1.37),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0.82 (0.77, 0.87),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0.85 (0.75, 0.96), p = 0.010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1.08 (0.86, 1.35), p = 0.513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0.97 (0.95, 1.00), p = 0.031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 – 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1.24 (1.14, 1.35),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0.85 (0.79, 0.92),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0.80 (0.68, 0.94), p = 0.008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0.89 (0.64, 1.26), p = 0.534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0.94 (0.90, 0.97),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GB"/>
              </w:rPr>
              <w:t>Referent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1.51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2.00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1.29 (1.15, 1.44),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0.76 (0.68, 0.85),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0.92 (0.74, 1.14), p = 0.454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0.92 (0.62, 1.37), p = 0.662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0.95 (0.91, 1.00), p = 0.032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1.01 (0.96, 1.07), p = 0.636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2.01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4.00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1.40 (1.18, 1.66),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0.82 (0.68, 0.99), p = 0.034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0.85 (0.58, 1.22), p = 0.376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2.04 (1.29, 3.24), p = 0.002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1.09 (1.05, 1.14), p &lt;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1.17 (1.11, 1.24), p &lt; 0.001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lastRenderedPageBreak/>
              <w:t>+ multivariable</w:t>
            </w:r>
          </w:p>
        </w:tc>
        <w:tc>
          <w:tcPr>
            <w:tcW w:w="1984" w:type="dxa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u w:val="single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u w:val="single"/>
                <w:lang w:val="en-GB"/>
              </w:rPr>
              <w:t>Overall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1.25 (1.18, 1.34),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0.90 (0.85, 0.96), p = 0.001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0.93 (0.82, 1.05), p = 0.257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1.04 (0.83, 1.31), p = 0.724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0.99 (0.97, 1.02), p = 0.606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GB"/>
              </w:rPr>
              <w:t>–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 – 1.50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1.25 (1.14, 1.36), p &lt; 0.001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0.94 (0.87, 1.01), p = 0.106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0.92 (0.77, 1.09), p = 0.310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0.95 (0.68, 1.34), p = 0.787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0.97 (0.94, 1.01), p = 0.125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  <w:lang w:val="en-GB"/>
              </w:rPr>
              <w:t>Referent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1.51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2.00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1.28 (1.14, 1.44), p &lt; 0.001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0.84 (0.75, 0.94), p = 0.003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0.96 (0.77, 1.19), p = 0.703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0.87 (0.58, 1.30), p = 0.455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0.96 (0.92, 1.01), p = 0.093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 xml:space="preserve">0.99 (0.94, 1.05), </w:t>
            </w:r>
            <w:r w:rsidRPr="009D0CC1">
              <w:rPr>
                <w:rFonts w:cs="Arial"/>
                <w:i/>
                <w:color w:val="000000"/>
                <w:sz w:val="14"/>
                <w:szCs w:val="14"/>
              </w:rPr>
              <w:t xml:space="preserve">p </w:t>
            </w:r>
            <w:r w:rsidRPr="009D0CC1">
              <w:rPr>
                <w:rFonts w:cs="Arial"/>
                <w:color w:val="000000"/>
                <w:sz w:val="14"/>
                <w:szCs w:val="14"/>
              </w:rPr>
              <w:t>= 0.821</w:t>
            </w:r>
          </w:p>
        </w:tc>
      </w:tr>
      <w:tr w:rsidR="003F0D08" w:rsidRPr="009D0CC1" w:rsidTr="009C1D21">
        <w:trPr>
          <w:trHeight w:hRule="exact" w:val="227"/>
        </w:trPr>
        <w:tc>
          <w:tcPr>
            <w:tcW w:w="31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2.01</w:t>
            </w:r>
            <w:r w:rsidRPr="009D0CC1">
              <w:rPr>
                <w:rFonts w:cs="Arial"/>
                <w:sz w:val="14"/>
                <w:szCs w:val="14"/>
                <w:lang w:val="en-GB"/>
              </w:rPr>
              <w:t xml:space="preserve"> – 4.00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1.22 (1.02, 1.45), p = 0.029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sz w:val="14"/>
                <w:szCs w:val="14"/>
                <w:lang w:val="en-GB"/>
              </w:rPr>
              <w:t>1.00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0.85 (0.71, 1.03), p = 0.105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0.88 (0.60, 1.27), p = 0.484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1.52 (0.95, 2.43), p = 0.078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>1.07 (1.02, 1.11), p = 0.003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3F0D08" w:rsidRPr="009D0CC1" w:rsidRDefault="003F0D08" w:rsidP="003F0D08">
            <w:pPr>
              <w:spacing w:line="240" w:lineRule="auto"/>
              <w:jc w:val="center"/>
              <w:rPr>
                <w:rFonts w:cs="Arial"/>
                <w:color w:val="000000"/>
                <w:sz w:val="14"/>
                <w:szCs w:val="14"/>
                <w:lang w:val="en-GB"/>
              </w:rPr>
            </w:pPr>
            <w:r w:rsidRPr="009D0CC1">
              <w:rPr>
                <w:rFonts w:cs="Arial"/>
                <w:color w:val="000000"/>
                <w:sz w:val="14"/>
                <w:szCs w:val="14"/>
              </w:rPr>
              <w:t xml:space="preserve">1.10 (1.04, 1.16), </w:t>
            </w:r>
            <w:r w:rsidRPr="009D0CC1">
              <w:rPr>
                <w:rFonts w:cs="Arial"/>
                <w:i/>
                <w:color w:val="000000"/>
                <w:sz w:val="14"/>
                <w:szCs w:val="14"/>
              </w:rPr>
              <w:t xml:space="preserve">p </w:t>
            </w:r>
            <w:r w:rsidRPr="009D0CC1">
              <w:rPr>
                <w:rFonts w:cs="Arial"/>
                <w:color w:val="000000"/>
                <w:sz w:val="14"/>
                <w:szCs w:val="14"/>
              </w:rPr>
              <w:t>= 0.001</w:t>
            </w:r>
          </w:p>
        </w:tc>
      </w:tr>
    </w:tbl>
    <w:p w:rsidR="00A651A0" w:rsidRPr="008C4EE5" w:rsidRDefault="008C4EE5">
      <w:pPr>
        <w:rPr>
          <w:lang w:val="en-GB"/>
        </w:rPr>
      </w:pPr>
      <w:r>
        <w:rPr>
          <w:lang w:val="en-GB"/>
        </w:rPr>
        <w:t>HR</w:t>
      </w:r>
      <w:r w:rsidR="00E32E24">
        <w:rPr>
          <w:lang w:val="en-GB"/>
        </w:rPr>
        <w:t xml:space="preserve">s, </w:t>
      </w:r>
      <w:r>
        <w:rPr>
          <w:lang w:val="en-GB"/>
        </w:rPr>
        <w:t>95% CI</w:t>
      </w:r>
      <w:r w:rsidR="00E32E24">
        <w:rPr>
          <w:lang w:val="en-GB"/>
        </w:rPr>
        <w:t xml:space="preserve">s, and </w:t>
      </w:r>
      <w:r w:rsidR="00E32E24">
        <w:rPr>
          <w:i/>
          <w:lang w:val="en-GB"/>
        </w:rPr>
        <w:t>p</w:t>
      </w:r>
      <w:r w:rsidR="00E32E24">
        <w:rPr>
          <w:lang w:val="en-GB"/>
        </w:rPr>
        <w:t>-values</w:t>
      </w:r>
      <w:r>
        <w:rPr>
          <w:lang w:val="en-GB"/>
        </w:rPr>
        <w:t xml:space="preserve"> derived from Cox models. The multivariable model was adjusted for age, sex, </w:t>
      </w:r>
      <w:r w:rsidRPr="009A3C90">
        <w:rPr>
          <w:lang w:val="en-GB"/>
        </w:rPr>
        <w:t xml:space="preserve">education, </w:t>
      </w:r>
      <w:r>
        <w:rPr>
          <w:lang w:val="en-GB"/>
        </w:rPr>
        <w:t xml:space="preserve">marital status, </w:t>
      </w:r>
      <w:r w:rsidRPr="009A3C90">
        <w:rPr>
          <w:lang w:val="en-GB"/>
        </w:rPr>
        <w:t xml:space="preserve">smoking, physical activity, </w:t>
      </w:r>
      <w:r>
        <w:rPr>
          <w:lang w:val="en-GB"/>
        </w:rPr>
        <w:t>body mass index, resting heart rate, total cholesterol concentration, triglyceride concentration, diabetes, family history of coronary heart disease, history of CVD, and mental health problems (if not used as a stratifying variable).</w:t>
      </w:r>
      <w:r w:rsidRPr="00FC3523">
        <w:rPr>
          <w:lang w:val="en-GB"/>
        </w:rPr>
        <w:t xml:space="preserve"> </w:t>
      </w:r>
      <w:r>
        <w:rPr>
          <w:lang w:val="en-GB"/>
        </w:rPr>
        <w:t xml:space="preserve">Interaction terms were used to test for a slope difference in the relationship between alcohol intake (per 5 g/day increase) and the outcomes between participants with different score on the mental health index. Only current drinkers, and not current abstainers, were included in this analysis. </w:t>
      </w:r>
      <w:r w:rsidRPr="007F1797">
        <w:rPr>
          <w:lang w:val="en-GB"/>
        </w:rPr>
        <w:t>Abbreviations</w:t>
      </w:r>
      <w:r>
        <w:rPr>
          <w:lang w:val="en-GB"/>
        </w:rPr>
        <w:t>: CVD: cardiovascular disease; HR, hazard ratio; CI, confidence interval.</w:t>
      </w:r>
    </w:p>
    <w:sectPr w:rsidR="00A651A0" w:rsidRPr="008C4EE5" w:rsidSect="008C4E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30"/>
    <w:rsid w:val="00205830"/>
    <w:rsid w:val="00292037"/>
    <w:rsid w:val="002D7D29"/>
    <w:rsid w:val="003F0D08"/>
    <w:rsid w:val="008C4EE5"/>
    <w:rsid w:val="008C6E58"/>
    <w:rsid w:val="009C1D21"/>
    <w:rsid w:val="00A651A0"/>
    <w:rsid w:val="00E3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D44A"/>
  <w15:chartTrackingRefBased/>
  <w15:docId w15:val="{4D8B9931-48DC-49EF-96DD-5FCEF05D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EE5"/>
    <w:pPr>
      <w:spacing w:line="480" w:lineRule="auto"/>
    </w:pPr>
    <w:rPr>
      <w:rFonts w:ascii="Arial" w:hAnsi="Arial"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C4EE5"/>
    <w:pPr>
      <w:keepNext/>
      <w:keepLines/>
      <w:spacing w:before="160" w:after="120"/>
      <w:outlineLvl w:val="1"/>
    </w:pPr>
    <w:rPr>
      <w:rFonts w:eastAsiaTheme="majorEastAsia" w:cstheme="majorBidi"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C4EE5"/>
    <w:rPr>
      <w:rFonts w:ascii="Arial" w:eastAsiaTheme="majorEastAsia" w:hAnsi="Arial" w:cstheme="majorBidi"/>
      <w:i/>
      <w:sz w:val="24"/>
      <w:szCs w:val="26"/>
    </w:rPr>
  </w:style>
  <w:style w:type="table" w:styleId="Tabellrutenett">
    <w:name w:val="Table Grid"/>
    <w:basedOn w:val="Vanligtabell"/>
    <w:uiPriority w:val="39"/>
    <w:rsid w:val="008C4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910</Words>
  <Characters>4824</Characters>
  <Application>Microsoft Office Word</Application>
  <DocSecurity>0</DocSecurity>
  <Lines>40</Lines>
  <Paragraphs>11</Paragraphs>
  <ScaleCrop>false</ScaleCrop>
  <Company>FHI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Degerud, Eirik Magnus Meek</dc:creator>
  <cp:keywords/>
  <dc:description/>
  <cp:lastModifiedBy>Degerud, Eirik Magnus Meek</cp:lastModifiedBy>
  <cp:revision>8</cp:revision>
  <dcterms:created xsi:type="dcterms:W3CDTF">2019-10-11T11:19:00Z</dcterms:created>
  <dcterms:modified xsi:type="dcterms:W3CDTF">2020-01-13T19:24:00Z</dcterms:modified>
</cp:coreProperties>
</file>