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18B6F" w14:textId="11360744" w:rsidR="00797053" w:rsidRDefault="00797053" w:rsidP="00797053">
      <w:pPr>
        <w:rPr>
          <w:b/>
        </w:rPr>
      </w:pPr>
      <w:r w:rsidRPr="009E6B8D">
        <w:rPr>
          <w:b/>
        </w:rPr>
        <w:t>The impact of the announcement and implementation of the UK Soft Drinks Industry Levy on sugar content, price, product size and number of available soft drinks in the UK, 2015-1</w:t>
      </w:r>
      <w:r>
        <w:rPr>
          <w:b/>
        </w:rPr>
        <w:t>9</w:t>
      </w:r>
      <w:r w:rsidRPr="009E6B8D">
        <w:rPr>
          <w:b/>
        </w:rPr>
        <w:t xml:space="preserve">: </w:t>
      </w:r>
      <w:r>
        <w:rPr>
          <w:b/>
        </w:rPr>
        <w:t xml:space="preserve">a </w:t>
      </w:r>
      <w:r w:rsidRPr="009E6B8D">
        <w:rPr>
          <w:b/>
        </w:rPr>
        <w:t>controlled interrupted time series analysis</w:t>
      </w:r>
    </w:p>
    <w:p w14:paraId="758BB2B8" w14:textId="33FEB229" w:rsidR="00B86C99" w:rsidRPr="00452684" w:rsidRDefault="00AD5A1F" w:rsidP="00452684">
      <w:pPr>
        <w:pStyle w:val="Heading1"/>
      </w:pPr>
      <w:bookmarkStart w:id="0" w:name="_Toc18676190"/>
      <w:r>
        <w:t>S</w:t>
      </w:r>
      <w:r w:rsidR="00797053">
        <w:t>3</w:t>
      </w:r>
      <w:r>
        <w:t xml:space="preserve"> </w:t>
      </w:r>
      <w:r w:rsidR="00B86C99" w:rsidRPr="00452684">
        <w:t xml:space="preserve">Appendix: Comparison of </w:t>
      </w:r>
      <w:proofErr w:type="spellStart"/>
      <w:r w:rsidR="00B86C99" w:rsidRPr="00452684">
        <w:t>foodDB</w:t>
      </w:r>
      <w:proofErr w:type="spellEnd"/>
      <w:r w:rsidR="00B86C99" w:rsidRPr="00452684">
        <w:t xml:space="preserve"> </w:t>
      </w:r>
      <w:r w:rsidR="009303A9">
        <w:t xml:space="preserve">and </w:t>
      </w:r>
      <w:proofErr w:type="spellStart"/>
      <w:r w:rsidR="009303A9">
        <w:t>BrandView</w:t>
      </w:r>
      <w:proofErr w:type="spellEnd"/>
      <w:r w:rsidR="009303A9">
        <w:t xml:space="preserve"> </w:t>
      </w:r>
      <w:r w:rsidR="00B86C99" w:rsidRPr="00452684">
        <w:t>datasets</w:t>
      </w:r>
      <w:bookmarkEnd w:id="0"/>
    </w:p>
    <w:p w14:paraId="67FE9FE0" w14:textId="77777777" w:rsidR="008E6827" w:rsidRDefault="008E6827"/>
    <w:p w14:paraId="4975061D" w14:textId="29ED7891" w:rsidR="008E6827" w:rsidRDefault="008E6827">
      <w:r>
        <w:rPr>
          <w:i/>
        </w:rPr>
        <w:t xml:space="preserve">Introduction: </w:t>
      </w:r>
      <w:r>
        <w:t>This appendix provides a comparison of the two datasets that have been combined for analys</w:t>
      </w:r>
      <w:r w:rsidR="00F22575">
        <w:t>i</w:t>
      </w:r>
      <w:r>
        <w:t>s of the impact of the announcement and implementation of the Soft Drinks Industry Levy (SDIL) on the proportion of drinks over each levy threshold (see main paper and appendix 3) and on the mean sugar levels in drinks (see appendix 2).</w:t>
      </w:r>
    </w:p>
    <w:p w14:paraId="6DA5F6EC" w14:textId="5EBFC37B" w:rsidR="008E6827" w:rsidRDefault="008E6827">
      <w:r>
        <w:rPr>
          <w:i/>
        </w:rPr>
        <w:t xml:space="preserve">Methods: </w:t>
      </w:r>
      <w:r w:rsidR="00F22575">
        <w:t>W</w:t>
      </w:r>
      <w:r w:rsidRPr="008E6827">
        <w:t>e used data collected from the websites of the three leading UK supermarkets (Asda, Sainsbury’s and Tesco) that together account for 58% of UK grocery sales</w:t>
      </w:r>
      <w:r>
        <w:rPr>
          <w:rStyle w:val="FootnoteReference"/>
        </w:rPr>
        <w:footnoteReference w:id="1"/>
      </w:r>
      <w:r w:rsidRPr="008E6827">
        <w:t xml:space="preserve">. </w:t>
      </w:r>
      <w:r>
        <w:t xml:space="preserve">One source was </w:t>
      </w:r>
      <w:r w:rsidRPr="008E6827">
        <w:t xml:space="preserve">a web-scraping and data processing software platform called </w:t>
      </w:r>
      <w:proofErr w:type="spellStart"/>
      <w:r w:rsidRPr="008E6827">
        <w:t>foodDB</w:t>
      </w:r>
      <w:proofErr w:type="spellEnd"/>
      <w:r>
        <w:t xml:space="preserve"> which was developed in-house by researchers in the Centre on Population Approaches for Non-Communicable Disease Prevention at the University of Oxford. F</w:t>
      </w:r>
      <w:r w:rsidRPr="008E6827">
        <w:t xml:space="preserve">ull details of the methods of data collection using </w:t>
      </w:r>
      <w:proofErr w:type="spellStart"/>
      <w:r>
        <w:t>foodDB</w:t>
      </w:r>
      <w:proofErr w:type="spellEnd"/>
      <w:r>
        <w:t xml:space="preserve"> </w:t>
      </w:r>
      <w:r w:rsidRPr="008E6827">
        <w:t>are provided elsewhere</w:t>
      </w:r>
      <w:r>
        <w:rPr>
          <w:rStyle w:val="FootnoteReference"/>
        </w:rPr>
        <w:footnoteReference w:id="2"/>
      </w:r>
      <w:r w:rsidRPr="008E6827">
        <w:t xml:space="preserve">. Briefly, </w:t>
      </w:r>
      <w:proofErr w:type="spellStart"/>
      <w:r w:rsidRPr="008E6827">
        <w:t>foodDB</w:t>
      </w:r>
      <w:proofErr w:type="spellEnd"/>
      <w:r w:rsidRPr="008E6827">
        <w:t xml:space="preserve"> collects data on over 99% of all food and drink products available for purchase on the supermarket websites each week, including product name, nutritional information, ingredients, product size, price and whether or not the product is on promotion. </w:t>
      </w:r>
    </w:p>
    <w:p w14:paraId="7E1A9B0C" w14:textId="289E0ED8" w:rsidR="008E6827" w:rsidRDefault="004B609E">
      <w:r>
        <w:t xml:space="preserve">To assess validity of the data collected by </w:t>
      </w:r>
      <w:proofErr w:type="spellStart"/>
      <w:r>
        <w:t>foodDB</w:t>
      </w:r>
      <w:proofErr w:type="spellEnd"/>
      <w:r>
        <w:t>, a</w:t>
      </w:r>
      <w:r w:rsidR="008E6827" w:rsidRPr="008E6827">
        <w:t xml:space="preserve"> validation exercise </w:t>
      </w:r>
      <w:r w:rsidR="008E6827">
        <w:t xml:space="preserve">was conducted that </w:t>
      </w:r>
      <w:r w:rsidR="008E6827" w:rsidRPr="008E6827">
        <w:t>compar</w:t>
      </w:r>
      <w:r w:rsidR="008E6827">
        <w:t>ed</w:t>
      </w:r>
      <w:r w:rsidR="008E6827" w:rsidRPr="008E6827">
        <w:t xml:space="preserve"> </w:t>
      </w:r>
      <w:proofErr w:type="spellStart"/>
      <w:r w:rsidR="008E6827" w:rsidRPr="008E6827">
        <w:t>foodDB</w:t>
      </w:r>
      <w:proofErr w:type="spellEnd"/>
      <w:r w:rsidR="008E6827" w:rsidRPr="008E6827">
        <w:t xml:space="preserve"> data with equivalent data collected from 2</w:t>
      </w:r>
      <w:r w:rsidR="003622E1">
        <w:t>95</w:t>
      </w:r>
      <w:r w:rsidR="008E6827" w:rsidRPr="008E6827">
        <w:t xml:space="preserve"> randomly selected products in real </w:t>
      </w:r>
      <w:proofErr w:type="gramStart"/>
      <w:r w:rsidR="008E6827" w:rsidRPr="008E6827">
        <w:t>life</w:t>
      </w:r>
      <w:proofErr w:type="gramEnd"/>
      <w:r w:rsidR="008E6827" w:rsidRPr="008E6827">
        <w:t xml:space="preserve"> stores. </w:t>
      </w:r>
      <w:r w:rsidR="008E6827">
        <w:t xml:space="preserve">Agreement between </w:t>
      </w:r>
      <w:proofErr w:type="spellStart"/>
      <w:r w:rsidR="008E6827">
        <w:t>foodDB</w:t>
      </w:r>
      <w:proofErr w:type="spellEnd"/>
      <w:r w:rsidR="008E6827">
        <w:t xml:space="preserve"> and the store sample for both sugar levels (g per 100g / 100ml) and price (£ per 100g / 100ml) was measured by assessing </w:t>
      </w:r>
      <w:r w:rsidR="00A47570">
        <w:t>percentage agreement between the two sources and observing Bland-Altm</w:t>
      </w:r>
      <w:r>
        <w:t>an plots for detection of bias.</w:t>
      </w:r>
      <w:r w:rsidR="003622E1">
        <w:t xml:space="preserve"> For percentage agreement, we rounded sugar levels to the nearest gram per 100g / 100ml, as this data was not always recorded to the same number of decimal places in each dataset.</w:t>
      </w:r>
    </w:p>
    <w:p w14:paraId="6792F6B7" w14:textId="00A4339F" w:rsidR="008E6827" w:rsidRDefault="00A47570">
      <w:r>
        <w:t>For the controlled interrupted time series analyses, w</w:t>
      </w:r>
      <w:r w:rsidR="008E6827" w:rsidRPr="008E6827">
        <w:t xml:space="preserve">e used weekly data from </w:t>
      </w:r>
      <w:proofErr w:type="spellStart"/>
      <w:r w:rsidR="008E6827" w:rsidRPr="008E6827">
        <w:t>foodDB</w:t>
      </w:r>
      <w:proofErr w:type="spellEnd"/>
      <w:r w:rsidR="008E6827" w:rsidRPr="008E6827">
        <w:t xml:space="preserve"> from 26th November 2017 (its initial data collection period) until 17th February 2019, consisting of 58 time points (NB: </w:t>
      </w:r>
      <w:r>
        <w:t xml:space="preserve">6 </w:t>
      </w:r>
      <w:r w:rsidR="008E6827" w:rsidRPr="008E6827">
        <w:t xml:space="preserve">weeks </w:t>
      </w:r>
      <w:r>
        <w:t>of data collection were exc</w:t>
      </w:r>
      <w:r w:rsidR="008E6827" w:rsidRPr="008E6827">
        <w:t>luded from the dataset</w:t>
      </w:r>
      <w:r>
        <w:t>, due to errors with the data collection which resulted in collection of data on less than 90% of all observed drinks</w:t>
      </w:r>
      <w:r w:rsidR="008E6827" w:rsidRPr="008E6827">
        <w:t xml:space="preserve">). </w:t>
      </w:r>
    </w:p>
    <w:p w14:paraId="53F8AC2F" w14:textId="11288112" w:rsidR="00A47570" w:rsidRDefault="00A47570" w:rsidP="00A47570">
      <w:r>
        <w:t xml:space="preserve">The second data source was the commercial company </w:t>
      </w:r>
      <w:proofErr w:type="spellStart"/>
      <w:r>
        <w:t>BrandView</w:t>
      </w:r>
      <w:proofErr w:type="spellEnd"/>
      <w:r>
        <w:t>, which extracts data from products available in Asda, Sainsbury’s and Tesco. We purchased data corresponding to the first of every month between August 2015 and September 2018.</w:t>
      </w:r>
      <w:r w:rsidR="00303B5F">
        <w:t xml:space="preserve"> The initial data point was dropped as data was available for less than 90% of all observed drinks, leaving 37 time points.</w:t>
      </w:r>
      <w:r>
        <w:t xml:space="preserve"> </w:t>
      </w:r>
    </w:p>
    <w:p w14:paraId="70BF0EFB" w14:textId="16697CD9" w:rsidR="00A47570" w:rsidRDefault="00A47570" w:rsidP="00A47570">
      <w:r>
        <w:t xml:space="preserve">Both the </w:t>
      </w:r>
      <w:proofErr w:type="spellStart"/>
      <w:r>
        <w:t>foodDB</w:t>
      </w:r>
      <w:proofErr w:type="spellEnd"/>
      <w:r>
        <w:t xml:space="preserve"> and </w:t>
      </w:r>
      <w:proofErr w:type="spellStart"/>
      <w:r>
        <w:t>BrandView</w:t>
      </w:r>
      <w:proofErr w:type="spellEnd"/>
      <w:r>
        <w:t xml:space="preserve"> datasets were restricted to our definition of soft drinks (see main paper)</w:t>
      </w:r>
      <w:r w:rsidR="008E6827" w:rsidRPr="008E6827">
        <w:t xml:space="preserve">, and then categorised </w:t>
      </w:r>
      <w:r>
        <w:t>as</w:t>
      </w:r>
      <w:r w:rsidR="008E6827" w:rsidRPr="008E6827">
        <w:t xml:space="preserve"> </w:t>
      </w:r>
      <w:r w:rsidR="00303B5F">
        <w:t>intervention</w:t>
      </w:r>
      <w:r w:rsidR="008E6827" w:rsidRPr="008E6827">
        <w:t xml:space="preserve"> or </w:t>
      </w:r>
      <w:r w:rsidR="00303B5F">
        <w:t>control</w:t>
      </w:r>
      <w:r w:rsidR="008E6827" w:rsidRPr="008E6827">
        <w:t xml:space="preserve"> based on supermarket categorisation and manual inspection of product names, using similar code and methods for each dataset. </w:t>
      </w:r>
      <w:r>
        <w:t>We categorised drinks as ‘own-brand’ if the product name contained Asda, Tesco or Sainsbury’s, and as ‘branded’ otherwise.</w:t>
      </w:r>
    </w:p>
    <w:p w14:paraId="07EE5530" w14:textId="27411CEA" w:rsidR="004E2C45" w:rsidRDefault="00595D4C" w:rsidP="004E2C45">
      <w:r>
        <w:t xml:space="preserve">To compare </w:t>
      </w:r>
      <w:r w:rsidR="004E2C45">
        <w:t>data collect</w:t>
      </w:r>
      <w:r w:rsidR="00303B5F">
        <w:t xml:space="preserve">ed from </w:t>
      </w:r>
      <w:r w:rsidR="004E2C45">
        <w:t xml:space="preserve">these two sources we </w:t>
      </w:r>
      <w:r w:rsidR="00896240">
        <w:t xml:space="preserve">compared drink categories, supermarkets, branded status, intervention / control status, price, product size and sugar level with Chi squared </w:t>
      </w:r>
      <w:r w:rsidR="00896240">
        <w:lastRenderedPageBreak/>
        <w:t xml:space="preserve">tests for categorical variables and </w:t>
      </w:r>
      <w:r w:rsidR="007C0336">
        <w:t>Wilcoxon rank-sum tests</w:t>
      </w:r>
      <w:r w:rsidR="00896240">
        <w:t xml:space="preserve"> for continuous variables. We </w:t>
      </w:r>
      <w:r w:rsidR="004E2C45">
        <w:t>observed trends in own-brand and branded products separately across the entire data collection period (including November 2017 – September 2018 where data were available from both sources)</w:t>
      </w:r>
      <w:r w:rsidR="00303B5F">
        <w:t>. We plotted trends in th</w:t>
      </w:r>
      <w:r w:rsidR="004E2C45">
        <w:t xml:space="preserve">e following variables: Number of products per data snapshot; mean sugar levels (g per 100ml); </w:t>
      </w:r>
      <w:r w:rsidR="001A7AC3">
        <w:t xml:space="preserve">geometric </w:t>
      </w:r>
      <w:r w:rsidR="004E2C45">
        <w:t>mean price (</w:t>
      </w:r>
      <w:r w:rsidR="00DF6957">
        <w:t>p</w:t>
      </w:r>
      <w:r w:rsidR="004E2C45">
        <w:t xml:space="preserve"> per 100ml); and </w:t>
      </w:r>
      <w:r w:rsidR="001A7AC3">
        <w:t xml:space="preserve">geometric </w:t>
      </w:r>
      <w:r w:rsidR="004E2C45">
        <w:t xml:space="preserve">mean </w:t>
      </w:r>
      <w:r w:rsidR="00DF6957">
        <w:t xml:space="preserve">product </w:t>
      </w:r>
      <w:r w:rsidR="004E2C45">
        <w:t>size (ml).</w:t>
      </w:r>
      <w:r w:rsidR="00303B5F">
        <w:t xml:space="preserve"> NB: geometric means were used for comparability with the main analyses, where these variables were log-transformed for the regression models.</w:t>
      </w:r>
    </w:p>
    <w:p w14:paraId="1860801C" w14:textId="614CE67F" w:rsidR="003622E1" w:rsidRDefault="004E2C45" w:rsidP="004E2C45">
      <w:r>
        <w:rPr>
          <w:i/>
        </w:rPr>
        <w:t xml:space="preserve">Results: </w:t>
      </w:r>
      <w:r w:rsidR="004167EE">
        <w:t>Of the 2</w:t>
      </w:r>
      <w:r w:rsidR="003622E1">
        <w:t>95</w:t>
      </w:r>
      <w:r w:rsidR="004167EE">
        <w:t xml:space="preserve"> products identified in real-life stores and compared with equivalent products collected using </w:t>
      </w:r>
      <w:proofErr w:type="spellStart"/>
      <w:r w:rsidR="004167EE">
        <w:t>foodDB</w:t>
      </w:r>
      <w:proofErr w:type="spellEnd"/>
      <w:r w:rsidR="004167EE">
        <w:t xml:space="preserve">, </w:t>
      </w:r>
      <w:r w:rsidR="003622E1">
        <w:t xml:space="preserve">193 had data for sugar levels in both datasets and </w:t>
      </w:r>
      <w:r w:rsidR="00AB5937">
        <w:t>254</w:t>
      </w:r>
      <w:r w:rsidR="003622E1">
        <w:t xml:space="preserve"> had data for price in both datasets. For sugar, 90.0% (95% confidence intervals 85.3%-93.9%) had the same sugar levels.</w:t>
      </w:r>
      <w:r w:rsidR="00AB5937">
        <w:t xml:space="preserve"> For price, 77.6% (72.4%-82.7%) of the products matched between the online and real-life stores.</w:t>
      </w:r>
    </w:p>
    <w:p w14:paraId="2FAC756D" w14:textId="7BE350DB" w:rsidR="00102EFE" w:rsidRDefault="00AB5937" w:rsidP="004E2C45">
      <w:r>
        <w:t>The</w:t>
      </w:r>
      <w:r w:rsidR="00102EFE">
        <w:t xml:space="preserve"> Bland-Altman plots are shown in </w:t>
      </w:r>
      <w:bookmarkStart w:id="1" w:name="_GoBack"/>
      <w:r w:rsidR="00E518FD">
        <w:t>Fig</w:t>
      </w:r>
      <w:bookmarkEnd w:id="1"/>
      <w:r w:rsidR="00102EFE">
        <w:t xml:space="preserve">s </w:t>
      </w:r>
      <w:r w:rsidR="00E110C8">
        <w:t>C</w:t>
      </w:r>
      <w:r w:rsidR="00102EFE">
        <w:t xml:space="preserve"> and </w:t>
      </w:r>
      <w:r w:rsidR="00E110C8">
        <w:t>D</w:t>
      </w:r>
      <w:r w:rsidR="00102EFE">
        <w:t xml:space="preserve"> and demonstrate no evidence of systematic differenc</w:t>
      </w:r>
      <w:r w:rsidR="00F44F1A">
        <w:t>e between the two data sources.</w:t>
      </w:r>
    </w:p>
    <w:p w14:paraId="7B26274C" w14:textId="403FC464" w:rsidR="00102EFE" w:rsidRDefault="00E518FD" w:rsidP="004E2C45">
      <w:pPr>
        <w:rPr>
          <w:b/>
        </w:rPr>
      </w:pPr>
      <w:r>
        <w:rPr>
          <w:b/>
        </w:rPr>
        <w:t>Fig</w:t>
      </w:r>
      <w:r w:rsidR="00102EFE">
        <w:rPr>
          <w:b/>
        </w:rPr>
        <w:t xml:space="preserve"> </w:t>
      </w:r>
      <w:r w:rsidR="00E110C8">
        <w:rPr>
          <w:b/>
        </w:rPr>
        <w:t>C</w:t>
      </w:r>
      <w:r w:rsidR="00102EFE">
        <w:rPr>
          <w:b/>
        </w:rPr>
        <w:t xml:space="preserve"> Bland-Altman plot comparing price (p per 100g / 100ml) of 2</w:t>
      </w:r>
      <w:r w:rsidR="00AB5937">
        <w:rPr>
          <w:b/>
        </w:rPr>
        <w:t>54</w:t>
      </w:r>
      <w:r w:rsidR="00102EFE">
        <w:rPr>
          <w:b/>
        </w:rPr>
        <w:t xml:space="preserve"> products identified in real-life stores and online</w:t>
      </w:r>
    </w:p>
    <w:p w14:paraId="4F4DDFD0" w14:textId="77777777" w:rsidR="00F44F1A" w:rsidRDefault="00F44F1A" w:rsidP="00102EFE">
      <w:pPr>
        <w:rPr>
          <w:b/>
        </w:rPr>
      </w:pPr>
      <w:r>
        <w:rPr>
          <w:noProof/>
          <w:lang w:eastAsia="en-GB"/>
        </w:rPr>
        <w:drawing>
          <wp:inline distT="0" distB="0" distL="0" distR="0" wp14:anchorId="5AF1B952" wp14:editId="2AB04F9D">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298950"/>
                    </a:xfrm>
                    <a:prstGeom prst="rect">
                      <a:avLst/>
                    </a:prstGeom>
                  </pic:spPr>
                </pic:pic>
              </a:graphicData>
            </a:graphic>
          </wp:inline>
        </w:drawing>
      </w:r>
    </w:p>
    <w:p w14:paraId="27B0114C" w14:textId="77777777" w:rsidR="00F44F1A" w:rsidRDefault="00F44F1A">
      <w:pPr>
        <w:rPr>
          <w:b/>
        </w:rPr>
      </w:pPr>
      <w:r>
        <w:rPr>
          <w:b/>
        </w:rPr>
        <w:br w:type="page"/>
      </w:r>
    </w:p>
    <w:p w14:paraId="195026CD" w14:textId="574E9FB9" w:rsidR="00102EFE" w:rsidRDefault="00E518FD" w:rsidP="00102EFE">
      <w:pPr>
        <w:rPr>
          <w:b/>
        </w:rPr>
      </w:pPr>
      <w:r>
        <w:rPr>
          <w:b/>
        </w:rPr>
        <w:lastRenderedPageBreak/>
        <w:t>Fig</w:t>
      </w:r>
      <w:r w:rsidR="00102EFE">
        <w:rPr>
          <w:b/>
        </w:rPr>
        <w:t xml:space="preserve"> </w:t>
      </w:r>
      <w:r w:rsidR="00E110C8">
        <w:rPr>
          <w:b/>
        </w:rPr>
        <w:t>D</w:t>
      </w:r>
      <w:r w:rsidR="00102EFE">
        <w:rPr>
          <w:b/>
        </w:rPr>
        <w:t xml:space="preserve"> Bland-Altman plot comparing sugar (g per 100g / 100ml) of </w:t>
      </w:r>
      <w:r w:rsidR="00AB5937">
        <w:rPr>
          <w:b/>
        </w:rPr>
        <w:t>193</w:t>
      </w:r>
      <w:r w:rsidR="00102EFE">
        <w:rPr>
          <w:b/>
        </w:rPr>
        <w:t xml:space="preserve"> products identified in real-life stores and online</w:t>
      </w:r>
    </w:p>
    <w:p w14:paraId="4564F00E" w14:textId="0FF94069" w:rsidR="00102EFE" w:rsidRDefault="00F44F1A" w:rsidP="00102EFE">
      <w:r>
        <w:rPr>
          <w:noProof/>
          <w:lang w:eastAsia="en-GB"/>
        </w:rPr>
        <w:drawing>
          <wp:inline distT="0" distB="0" distL="0" distR="0" wp14:anchorId="6828C13A" wp14:editId="493A5C38">
            <wp:extent cx="5731510" cy="42989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298950"/>
                    </a:xfrm>
                    <a:prstGeom prst="rect">
                      <a:avLst/>
                    </a:prstGeom>
                  </pic:spPr>
                </pic:pic>
              </a:graphicData>
            </a:graphic>
          </wp:inline>
        </w:drawing>
      </w:r>
    </w:p>
    <w:p w14:paraId="1771F276" w14:textId="77777777" w:rsidR="000927F1" w:rsidRDefault="000927F1" w:rsidP="00102EFE"/>
    <w:p w14:paraId="69F49772" w14:textId="6368E2EB" w:rsidR="00896240" w:rsidRDefault="00896240" w:rsidP="00102EFE">
      <w:r>
        <w:t xml:space="preserve">Table </w:t>
      </w:r>
      <w:r w:rsidR="00E110C8">
        <w:t>C</w:t>
      </w:r>
      <w:r>
        <w:t xml:space="preserve"> shows descriptive statistics for the two datasets</w:t>
      </w:r>
      <w:r w:rsidR="00B47C54">
        <w:t xml:space="preserve">. There were differences between the two datasets in both the types of drinks observed and the amount of observations from each supermarket, with the </w:t>
      </w:r>
      <w:proofErr w:type="spellStart"/>
      <w:r w:rsidR="00B47C54">
        <w:t>foodDB</w:t>
      </w:r>
      <w:proofErr w:type="spellEnd"/>
      <w:r w:rsidR="00B47C54">
        <w:t xml:space="preserve"> dataset collecting data on similar number of drinks from each of the three supermarkets whereas </w:t>
      </w:r>
      <w:proofErr w:type="spellStart"/>
      <w:r w:rsidR="00B47C54">
        <w:t>BrandView</w:t>
      </w:r>
      <w:proofErr w:type="spellEnd"/>
      <w:r w:rsidR="00B47C54">
        <w:t xml:space="preserve"> predominantly provided data from Tesco. Splits between branded and own-brand status, and between intervention and control drinks were similar across the two datasets, but a greater proportion of branded products and control drinks were found in </w:t>
      </w:r>
      <w:proofErr w:type="spellStart"/>
      <w:r w:rsidR="00B47C54">
        <w:t>foodDB</w:t>
      </w:r>
      <w:proofErr w:type="spellEnd"/>
      <w:r w:rsidR="00B47C54">
        <w:t>. There were small differences in the median price and sugar levels of drinks collected in the two datasets, which may reflect the different time periods over which data were collected.</w:t>
      </w:r>
    </w:p>
    <w:p w14:paraId="3F1824E3" w14:textId="550F0812" w:rsidR="00896240" w:rsidRDefault="00896240">
      <w:r>
        <w:br w:type="page"/>
      </w:r>
    </w:p>
    <w:p w14:paraId="3CB56DB6" w14:textId="536D8729" w:rsidR="00896240" w:rsidRDefault="00896240" w:rsidP="00102EFE">
      <w:pPr>
        <w:rPr>
          <w:b/>
        </w:rPr>
      </w:pPr>
      <w:r>
        <w:rPr>
          <w:b/>
        </w:rPr>
        <w:lastRenderedPageBreak/>
        <w:t xml:space="preserve">Table </w:t>
      </w:r>
      <w:r w:rsidR="00E110C8">
        <w:rPr>
          <w:b/>
        </w:rPr>
        <w:t>C</w:t>
      </w:r>
      <w:r>
        <w:rPr>
          <w:b/>
        </w:rPr>
        <w:t xml:space="preserve"> Descriptive statistics comparing the </w:t>
      </w:r>
      <w:proofErr w:type="spellStart"/>
      <w:r>
        <w:rPr>
          <w:b/>
        </w:rPr>
        <w:t>foodDB</w:t>
      </w:r>
      <w:proofErr w:type="spellEnd"/>
      <w:r>
        <w:rPr>
          <w:b/>
        </w:rPr>
        <w:t xml:space="preserve"> and </w:t>
      </w:r>
      <w:proofErr w:type="spellStart"/>
      <w:r>
        <w:rPr>
          <w:b/>
        </w:rPr>
        <w:t>BrandView</w:t>
      </w:r>
      <w:proofErr w:type="spellEnd"/>
      <w:r>
        <w:rPr>
          <w:b/>
        </w:rPr>
        <w:t xml:space="preserve"> datasets</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3969"/>
        <w:gridCol w:w="1947"/>
        <w:gridCol w:w="1948"/>
        <w:gridCol w:w="1066"/>
      </w:tblGrid>
      <w:tr w:rsidR="00896240" w14:paraId="1714EB36" w14:textId="77777777" w:rsidTr="00EE5CA5">
        <w:tc>
          <w:tcPr>
            <w:tcW w:w="4248" w:type="dxa"/>
            <w:gridSpan w:val="2"/>
            <w:tcBorders>
              <w:top w:val="single" w:sz="4" w:space="0" w:color="auto"/>
              <w:bottom w:val="single" w:sz="4" w:space="0" w:color="auto"/>
            </w:tcBorders>
          </w:tcPr>
          <w:p w14:paraId="340F41AB" w14:textId="0E066807" w:rsidR="00896240" w:rsidRPr="00EE5CA5" w:rsidRDefault="00896240" w:rsidP="00EE5CA5">
            <w:pPr>
              <w:rPr>
                <w:i/>
              </w:rPr>
            </w:pPr>
            <w:r w:rsidRPr="00EE5CA5">
              <w:rPr>
                <w:i/>
              </w:rPr>
              <w:t>Variable</w:t>
            </w:r>
          </w:p>
        </w:tc>
        <w:tc>
          <w:tcPr>
            <w:tcW w:w="1947" w:type="dxa"/>
            <w:tcBorders>
              <w:top w:val="single" w:sz="4" w:space="0" w:color="auto"/>
              <w:bottom w:val="single" w:sz="4" w:space="0" w:color="auto"/>
            </w:tcBorders>
          </w:tcPr>
          <w:p w14:paraId="5531F8C9" w14:textId="55F506B5" w:rsidR="00896240" w:rsidRPr="00EE5CA5" w:rsidRDefault="00896240" w:rsidP="00EE5CA5">
            <w:pPr>
              <w:jc w:val="right"/>
              <w:rPr>
                <w:i/>
              </w:rPr>
            </w:pPr>
            <w:proofErr w:type="spellStart"/>
            <w:r w:rsidRPr="00EE5CA5">
              <w:rPr>
                <w:i/>
              </w:rPr>
              <w:t>foodDB</w:t>
            </w:r>
            <w:proofErr w:type="spellEnd"/>
          </w:p>
        </w:tc>
        <w:tc>
          <w:tcPr>
            <w:tcW w:w="1948" w:type="dxa"/>
            <w:tcBorders>
              <w:top w:val="single" w:sz="4" w:space="0" w:color="auto"/>
              <w:bottom w:val="single" w:sz="4" w:space="0" w:color="auto"/>
            </w:tcBorders>
          </w:tcPr>
          <w:p w14:paraId="79222888" w14:textId="0E1B9D2A" w:rsidR="00896240" w:rsidRPr="00EE5CA5" w:rsidRDefault="00896240" w:rsidP="00EE5CA5">
            <w:pPr>
              <w:jc w:val="right"/>
              <w:rPr>
                <w:i/>
              </w:rPr>
            </w:pPr>
            <w:proofErr w:type="spellStart"/>
            <w:r w:rsidRPr="00EE5CA5">
              <w:rPr>
                <w:i/>
              </w:rPr>
              <w:t>BrandView</w:t>
            </w:r>
            <w:proofErr w:type="spellEnd"/>
          </w:p>
        </w:tc>
        <w:tc>
          <w:tcPr>
            <w:tcW w:w="1066" w:type="dxa"/>
            <w:tcBorders>
              <w:top w:val="single" w:sz="4" w:space="0" w:color="auto"/>
              <w:bottom w:val="single" w:sz="4" w:space="0" w:color="auto"/>
            </w:tcBorders>
          </w:tcPr>
          <w:p w14:paraId="2E79F0BA" w14:textId="5127A9BA" w:rsidR="00896240" w:rsidRPr="00EE5CA5" w:rsidRDefault="007C0336" w:rsidP="00EE5CA5">
            <w:pPr>
              <w:jc w:val="right"/>
              <w:rPr>
                <w:i/>
              </w:rPr>
            </w:pPr>
            <w:r>
              <w:rPr>
                <w:i/>
              </w:rPr>
              <w:t>p</w:t>
            </w:r>
            <w:r w:rsidRPr="00EE5CA5">
              <w:rPr>
                <w:i/>
                <w:vertAlign w:val="superscript"/>
              </w:rPr>
              <w:t>1</w:t>
            </w:r>
          </w:p>
        </w:tc>
      </w:tr>
      <w:tr w:rsidR="00896240" w14:paraId="2F156CF8" w14:textId="77777777" w:rsidTr="00EE5CA5">
        <w:tc>
          <w:tcPr>
            <w:tcW w:w="4248" w:type="dxa"/>
            <w:gridSpan w:val="2"/>
            <w:tcBorders>
              <w:top w:val="single" w:sz="4" w:space="0" w:color="auto"/>
            </w:tcBorders>
          </w:tcPr>
          <w:p w14:paraId="5015CD2B" w14:textId="2B10021E" w:rsidR="00896240" w:rsidRDefault="00896240" w:rsidP="00EE5CA5">
            <w:r>
              <w:t>Type of drink, n (%)</w:t>
            </w:r>
          </w:p>
        </w:tc>
        <w:tc>
          <w:tcPr>
            <w:tcW w:w="1947" w:type="dxa"/>
            <w:tcBorders>
              <w:top w:val="single" w:sz="4" w:space="0" w:color="auto"/>
            </w:tcBorders>
          </w:tcPr>
          <w:p w14:paraId="6E8342B0" w14:textId="485716E3" w:rsidR="00896240" w:rsidRDefault="00896240" w:rsidP="00EE5CA5">
            <w:pPr>
              <w:jc w:val="right"/>
            </w:pPr>
          </w:p>
        </w:tc>
        <w:tc>
          <w:tcPr>
            <w:tcW w:w="1948" w:type="dxa"/>
            <w:tcBorders>
              <w:top w:val="single" w:sz="4" w:space="0" w:color="auto"/>
            </w:tcBorders>
          </w:tcPr>
          <w:p w14:paraId="3CA25785" w14:textId="77777777" w:rsidR="00896240" w:rsidRDefault="00896240" w:rsidP="00EE5CA5">
            <w:pPr>
              <w:jc w:val="right"/>
            </w:pPr>
          </w:p>
        </w:tc>
        <w:tc>
          <w:tcPr>
            <w:tcW w:w="1066" w:type="dxa"/>
            <w:tcBorders>
              <w:top w:val="single" w:sz="4" w:space="0" w:color="auto"/>
            </w:tcBorders>
          </w:tcPr>
          <w:p w14:paraId="3B044D47" w14:textId="77777777" w:rsidR="00896240" w:rsidRDefault="00896240" w:rsidP="00EE5CA5">
            <w:pPr>
              <w:jc w:val="right"/>
            </w:pPr>
          </w:p>
        </w:tc>
      </w:tr>
      <w:tr w:rsidR="00896240" w14:paraId="7FEE0A0C" w14:textId="77777777" w:rsidTr="00EE5CA5">
        <w:tc>
          <w:tcPr>
            <w:tcW w:w="279" w:type="dxa"/>
          </w:tcPr>
          <w:p w14:paraId="64022734" w14:textId="77777777" w:rsidR="00896240" w:rsidRDefault="00896240" w:rsidP="00102EFE"/>
        </w:tc>
        <w:tc>
          <w:tcPr>
            <w:tcW w:w="3969" w:type="dxa"/>
          </w:tcPr>
          <w:p w14:paraId="3B468E34" w14:textId="4DE688DE" w:rsidR="00896240" w:rsidRDefault="00896240" w:rsidP="00EE5CA5">
            <w:r>
              <w:t>Carbonate</w:t>
            </w:r>
          </w:p>
        </w:tc>
        <w:tc>
          <w:tcPr>
            <w:tcW w:w="1947" w:type="dxa"/>
          </w:tcPr>
          <w:p w14:paraId="41A6F02C" w14:textId="391D3A35" w:rsidR="00896240" w:rsidRDefault="00DE313D" w:rsidP="00EE5CA5">
            <w:pPr>
              <w:jc w:val="right"/>
            </w:pPr>
            <w:r>
              <w:t>44,230 (30.7)</w:t>
            </w:r>
          </w:p>
        </w:tc>
        <w:tc>
          <w:tcPr>
            <w:tcW w:w="1948" w:type="dxa"/>
          </w:tcPr>
          <w:p w14:paraId="3C58B29C" w14:textId="0F9458E1" w:rsidR="00896240" w:rsidRDefault="00DE313D" w:rsidP="00EE5CA5">
            <w:pPr>
              <w:jc w:val="right"/>
            </w:pPr>
            <w:r>
              <w:t>33,323</w:t>
            </w:r>
            <w:r w:rsidR="008159DC">
              <w:t xml:space="preserve"> (37.6)</w:t>
            </w:r>
          </w:p>
        </w:tc>
        <w:tc>
          <w:tcPr>
            <w:tcW w:w="1066" w:type="dxa"/>
          </w:tcPr>
          <w:p w14:paraId="31C8D05B" w14:textId="77777777" w:rsidR="00896240" w:rsidRDefault="00896240" w:rsidP="00EE5CA5">
            <w:pPr>
              <w:jc w:val="right"/>
            </w:pPr>
          </w:p>
        </w:tc>
      </w:tr>
      <w:tr w:rsidR="00896240" w14:paraId="095CDF7E" w14:textId="77777777" w:rsidTr="00EE5CA5">
        <w:tc>
          <w:tcPr>
            <w:tcW w:w="279" w:type="dxa"/>
          </w:tcPr>
          <w:p w14:paraId="6A046A23" w14:textId="77777777" w:rsidR="00896240" w:rsidRDefault="00896240" w:rsidP="00102EFE"/>
        </w:tc>
        <w:tc>
          <w:tcPr>
            <w:tcW w:w="3969" w:type="dxa"/>
          </w:tcPr>
          <w:p w14:paraId="13A97BB7" w14:textId="048F4E35" w:rsidR="00896240" w:rsidRDefault="00896240" w:rsidP="00EE5CA5">
            <w:r>
              <w:t>Energy drink</w:t>
            </w:r>
          </w:p>
        </w:tc>
        <w:tc>
          <w:tcPr>
            <w:tcW w:w="1947" w:type="dxa"/>
          </w:tcPr>
          <w:p w14:paraId="4668C39D" w14:textId="52F5ACB2" w:rsidR="00896240" w:rsidRDefault="00DE313D" w:rsidP="00EE5CA5">
            <w:pPr>
              <w:jc w:val="right"/>
            </w:pPr>
            <w:r>
              <w:t>13,832 (9.6)</w:t>
            </w:r>
          </w:p>
        </w:tc>
        <w:tc>
          <w:tcPr>
            <w:tcW w:w="1948" w:type="dxa"/>
          </w:tcPr>
          <w:p w14:paraId="3C254463" w14:textId="008AEC9D" w:rsidR="00896240" w:rsidRDefault="00DE313D" w:rsidP="00EE5CA5">
            <w:pPr>
              <w:jc w:val="right"/>
            </w:pPr>
            <w:r>
              <w:t>3,434</w:t>
            </w:r>
            <w:r w:rsidR="008159DC">
              <w:t xml:space="preserve"> (3.9)</w:t>
            </w:r>
          </w:p>
        </w:tc>
        <w:tc>
          <w:tcPr>
            <w:tcW w:w="1066" w:type="dxa"/>
          </w:tcPr>
          <w:p w14:paraId="7CBD6872" w14:textId="77777777" w:rsidR="00896240" w:rsidRDefault="00896240" w:rsidP="00EE5CA5">
            <w:pPr>
              <w:jc w:val="right"/>
            </w:pPr>
          </w:p>
        </w:tc>
      </w:tr>
      <w:tr w:rsidR="00896240" w14:paraId="0C7890E3" w14:textId="77777777" w:rsidTr="00EE5CA5">
        <w:tc>
          <w:tcPr>
            <w:tcW w:w="279" w:type="dxa"/>
          </w:tcPr>
          <w:p w14:paraId="4AF6A4D6" w14:textId="77777777" w:rsidR="00896240" w:rsidRDefault="00896240" w:rsidP="00102EFE"/>
        </w:tc>
        <w:tc>
          <w:tcPr>
            <w:tcW w:w="3969" w:type="dxa"/>
          </w:tcPr>
          <w:p w14:paraId="42679CDE" w14:textId="3AED7BD7" w:rsidR="00896240" w:rsidRDefault="00896240" w:rsidP="00EE5CA5">
            <w:r>
              <w:t xml:space="preserve">Squash </w:t>
            </w:r>
            <w:r w:rsidR="00A225AB">
              <w:t xml:space="preserve">or </w:t>
            </w:r>
            <w:r>
              <w:t>cordial</w:t>
            </w:r>
          </w:p>
        </w:tc>
        <w:tc>
          <w:tcPr>
            <w:tcW w:w="1947" w:type="dxa"/>
          </w:tcPr>
          <w:p w14:paraId="731E8B31" w14:textId="59AFD092" w:rsidR="00896240" w:rsidRDefault="00DE313D" w:rsidP="00EE5CA5">
            <w:pPr>
              <w:jc w:val="right"/>
            </w:pPr>
            <w:r>
              <w:t>12,061 (8.4)</w:t>
            </w:r>
          </w:p>
        </w:tc>
        <w:tc>
          <w:tcPr>
            <w:tcW w:w="1948" w:type="dxa"/>
          </w:tcPr>
          <w:p w14:paraId="75CED4C1" w14:textId="5870E002" w:rsidR="00896240" w:rsidRDefault="00DE313D" w:rsidP="00EE5CA5">
            <w:pPr>
              <w:jc w:val="right"/>
            </w:pPr>
            <w:r>
              <w:t>7,887</w:t>
            </w:r>
            <w:r w:rsidR="008159DC">
              <w:t xml:space="preserve"> (8.9)</w:t>
            </w:r>
          </w:p>
        </w:tc>
        <w:tc>
          <w:tcPr>
            <w:tcW w:w="1066" w:type="dxa"/>
          </w:tcPr>
          <w:p w14:paraId="1AC4D6FE" w14:textId="77777777" w:rsidR="00896240" w:rsidRDefault="00896240" w:rsidP="00EE5CA5">
            <w:pPr>
              <w:jc w:val="right"/>
            </w:pPr>
          </w:p>
        </w:tc>
      </w:tr>
      <w:tr w:rsidR="00DE313D" w14:paraId="396ACC6D" w14:textId="77777777" w:rsidTr="00EE5CA5">
        <w:tc>
          <w:tcPr>
            <w:tcW w:w="279" w:type="dxa"/>
          </w:tcPr>
          <w:p w14:paraId="7B208175" w14:textId="77777777" w:rsidR="00DE313D" w:rsidRDefault="00DE313D" w:rsidP="00102EFE"/>
        </w:tc>
        <w:tc>
          <w:tcPr>
            <w:tcW w:w="3969" w:type="dxa"/>
          </w:tcPr>
          <w:p w14:paraId="29136F00" w14:textId="635C1FFA" w:rsidR="00DE313D" w:rsidRDefault="00DE313D" w:rsidP="00896240">
            <w:r>
              <w:t>Flavoured water</w:t>
            </w:r>
          </w:p>
        </w:tc>
        <w:tc>
          <w:tcPr>
            <w:tcW w:w="1947" w:type="dxa"/>
          </w:tcPr>
          <w:p w14:paraId="69961276" w14:textId="1825C8D7" w:rsidR="00DE313D" w:rsidRDefault="00DE313D" w:rsidP="00896240">
            <w:pPr>
              <w:jc w:val="right"/>
            </w:pPr>
            <w:r>
              <w:t>8,539 (5.9)</w:t>
            </w:r>
          </w:p>
        </w:tc>
        <w:tc>
          <w:tcPr>
            <w:tcW w:w="1948" w:type="dxa"/>
          </w:tcPr>
          <w:p w14:paraId="3D4F334D" w14:textId="1BEC1892" w:rsidR="00DE313D" w:rsidRDefault="00DE313D" w:rsidP="00896240">
            <w:pPr>
              <w:jc w:val="right"/>
            </w:pPr>
            <w:r>
              <w:t>4,125</w:t>
            </w:r>
            <w:r w:rsidR="008159DC">
              <w:t xml:space="preserve"> (4.7)</w:t>
            </w:r>
          </w:p>
        </w:tc>
        <w:tc>
          <w:tcPr>
            <w:tcW w:w="1066" w:type="dxa"/>
          </w:tcPr>
          <w:p w14:paraId="226FE32C" w14:textId="77777777" w:rsidR="00DE313D" w:rsidRDefault="00DE313D" w:rsidP="00896240">
            <w:pPr>
              <w:jc w:val="right"/>
            </w:pPr>
          </w:p>
        </w:tc>
      </w:tr>
      <w:tr w:rsidR="00896240" w14:paraId="7965DEDA" w14:textId="77777777" w:rsidTr="00EE5CA5">
        <w:tc>
          <w:tcPr>
            <w:tcW w:w="279" w:type="dxa"/>
          </w:tcPr>
          <w:p w14:paraId="085B1A4D" w14:textId="77777777" w:rsidR="00896240" w:rsidRDefault="00896240" w:rsidP="00102EFE"/>
        </w:tc>
        <w:tc>
          <w:tcPr>
            <w:tcW w:w="3969" w:type="dxa"/>
          </w:tcPr>
          <w:p w14:paraId="55E31139" w14:textId="58E7AB54" w:rsidR="00896240" w:rsidRDefault="00896240" w:rsidP="00EE5CA5">
            <w:r>
              <w:t>Milk-based drink</w:t>
            </w:r>
          </w:p>
        </w:tc>
        <w:tc>
          <w:tcPr>
            <w:tcW w:w="1947" w:type="dxa"/>
          </w:tcPr>
          <w:p w14:paraId="2A0CBA8A" w14:textId="47A97F44" w:rsidR="00896240" w:rsidRDefault="00DE313D" w:rsidP="00EE5CA5">
            <w:pPr>
              <w:jc w:val="right"/>
            </w:pPr>
            <w:r>
              <w:t>20,157 (14.0)</w:t>
            </w:r>
          </w:p>
        </w:tc>
        <w:tc>
          <w:tcPr>
            <w:tcW w:w="1948" w:type="dxa"/>
          </w:tcPr>
          <w:p w14:paraId="455D0D4F" w14:textId="2AF568B2" w:rsidR="00896240" w:rsidRDefault="00DE313D" w:rsidP="00EE5CA5">
            <w:pPr>
              <w:jc w:val="right"/>
            </w:pPr>
            <w:r>
              <w:t>9,480</w:t>
            </w:r>
            <w:r w:rsidR="008159DC">
              <w:t xml:space="preserve"> (10.7)</w:t>
            </w:r>
          </w:p>
        </w:tc>
        <w:tc>
          <w:tcPr>
            <w:tcW w:w="1066" w:type="dxa"/>
          </w:tcPr>
          <w:p w14:paraId="1DD46CFD" w14:textId="77777777" w:rsidR="00896240" w:rsidRDefault="00896240" w:rsidP="00EE5CA5">
            <w:pPr>
              <w:jc w:val="right"/>
            </w:pPr>
          </w:p>
        </w:tc>
      </w:tr>
      <w:tr w:rsidR="00896240" w14:paraId="190A4E08" w14:textId="77777777" w:rsidTr="00EE5CA5">
        <w:tc>
          <w:tcPr>
            <w:tcW w:w="279" w:type="dxa"/>
          </w:tcPr>
          <w:p w14:paraId="54235332" w14:textId="77777777" w:rsidR="00896240" w:rsidRDefault="00896240" w:rsidP="00102EFE"/>
        </w:tc>
        <w:tc>
          <w:tcPr>
            <w:tcW w:w="3969" w:type="dxa"/>
          </w:tcPr>
          <w:p w14:paraId="62942282" w14:textId="14D599BA" w:rsidR="00896240" w:rsidRDefault="00896240" w:rsidP="00EE5CA5">
            <w:r>
              <w:t>Fruit juice</w:t>
            </w:r>
            <w:r w:rsidR="0065414B">
              <w:t xml:space="preserve"> and smoothies</w:t>
            </w:r>
          </w:p>
        </w:tc>
        <w:tc>
          <w:tcPr>
            <w:tcW w:w="1947" w:type="dxa"/>
          </w:tcPr>
          <w:p w14:paraId="6A3B84B2" w14:textId="54354110" w:rsidR="00896240" w:rsidRDefault="00DE313D" w:rsidP="00EE5CA5">
            <w:pPr>
              <w:jc w:val="right"/>
            </w:pPr>
            <w:r>
              <w:t>45,253 (31.4)</w:t>
            </w:r>
          </w:p>
        </w:tc>
        <w:tc>
          <w:tcPr>
            <w:tcW w:w="1948" w:type="dxa"/>
          </w:tcPr>
          <w:p w14:paraId="085E9136" w14:textId="472604DF" w:rsidR="00896240" w:rsidRDefault="00DE313D" w:rsidP="00EE5CA5">
            <w:pPr>
              <w:jc w:val="right"/>
            </w:pPr>
            <w:r>
              <w:t>30,373</w:t>
            </w:r>
            <w:r w:rsidR="008159DC">
              <w:t xml:space="preserve"> (34.3)</w:t>
            </w:r>
          </w:p>
        </w:tc>
        <w:tc>
          <w:tcPr>
            <w:tcW w:w="1066" w:type="dxa"/>
          </w:tcPr>
          <w:p w14:paraId="2EF5715A" w14:textId="699B0439" w:rsidR="00896240" w:rsidRDefault="00DE313D" w:rsidP="00EE5CA5">
            <w:pPr>
              <w:jc w:val="right"/>
            </w:pPr>
            <w:r>
              <w:t>&lt;0.001</w:t>
            </w:r>
          </w:p>
        </w:tc>
      </w:tr>
      <w:tr w:rsidR="00896240" w14:paraId="128970A0" w14:textId="77777777" w:rsidTr="00EE5CA5">
        <w:tc>
          <w:tcPr>
            <w:tcW w:w="4248" w:type="dxa"/>
            <w:gridSpan w:val="2"/>
          </w:tcPr>
          <w:p w14:paraId="54B10565" w14:textId="20A7FDDE" w:rsidR="00896240" w:rsidRDefault="00896240" w:rsidP="00EE5CA5">
            <w:r>
              <w:t>Supermarket, n (%)</w:t>
            </w:r>
          </w:p>
        </w:tc>
        <w:tc>
          <w:tcPr>
            <w:tcW w:w="1947" w:type="dxa"/>
          </w:tcPr>
          <w:p w14:paraId="2EBB11FE" w14:textId="40BAADF9" w:rsidR="00896240" w:rsidRDefault="00896240" w:rsidP="00EE5CA5">
            <w:pPr>
              <w:jc w:val="right"/>
            </w:pPr>
          </w:p>
        </w:tc>
        <w:tc>
          <w:tcPr>
            <w:tcW w:w="1948" w:type="dxa"/>
          </w:tcPr>
          <w:p w14:paraId="59AE0CD9" w14:textId="77777777" w:rsidR="00896240" w:rsidRDefault="00896240" w:rsidP="00EE5CA5">
            <w:pPr>
              <w:jc w:val="right"/>
            </w:pPr>
          </w:p>
        </w:tc>
        <w:tc>
          <w:tcPr>
            <w:tcW w:w="1066" w:type="dxa"/>
          </w:tcPr>
          <w:p w14:paraId="052FB6EE" w14:textId="77777777" w:rsidR="00896240" w:rsidRDefault="00896240" w:rsidP="00EE5CA5">
            <w:pPr>
              <w:jc w:val="right"/>
            </w:pPr>
          </w:p>
        </w:tc>
      </w:tr>
      <w:tr w:rsidR="00896240" w14:paraId="767686D1" w14:textId="77777777" w:rsidTr="00EE5CA5">
        <w:tc>
          <w:tcPr>
            <w:tcW w:w="279" w:type="dxa"/>
          </w:tcPr>
          <w:p w14:paraId="3DB26B63" w14:textId="77777777" w:rsidR="00896240" w:rsidRDefault="00896240" w:rsidP="00102EFE"/>
        </w:tc>
        <w:tc>
          <w:tcPr>
            <w:tcW w:w="3969" w:type="dxa"/>
          </w:tcPr>
          <w:p w14:paraId="05A6D47D" w14:textId="2071418A" w:rsidR="00896240" w:rsidRDefault="00896240" w:rsidP="00EE5CA5">
            <w:r>
              <w:t>Tesco</w:t>
            </w:r>
          </w:p>
        </w:tc>
        <w:tc>
          <w:tcPr>
            <w:tcW w:w="1947" w:type="dxa"/>
          </w:tcPr>
          <w:p w14:paraId="00CE96D3" w14:textId="4CAC4307" w:rsidR="00896240" w:rsidRDefault="008159DC" w:rsidP="00EE5CA5">
            <w:pPr>
              <w:jc w:val="right"/>
            </w:pPr>
            <w:r>
              <w:t xml:space="preserve">47,632 (33.0) </w:t>
            </w:r>
          </w:p>
        </w:tc>
        <w:tc>
          <w:tcPr>
            <w:tcW w:w="1948" w:type="dxa"/>
          </w:tcPr>
          <w:p w14:paraId="107CD8AC" w14:textId="22214AD2" w:rsidR="00896240" w:rsidRDefault="008159DC" w:rsidP="00EE5CA5">
            <w:pPr>
              <w:jc w:val="right"/>
            </w:pPr>
            <w:r>
              <w:t>51,254 (57.8)</w:t>
            </w:r>
          </w:p>
        </w:tc>
        <w:tc>
          <w:tcPr>
            <w:tcW w:w="1066" w:type="dxa"/>
          </w:tcPr>
          <w:p w14:paraId="209104EC" w14:textId="77777777" w:rsidR="00896240" w:rsidRDefault="00896240" w:rsidP="00EE5CA5">
            <w:pPr>
              <w:jc w:val="right"/>
            </w:pPr>
          </w:p>
        </w:tc>
      </w:tr>
      <w:tr w:rsidR="00896240" w14:paraId="29D9B697" w14:textId="77777777" w:rsidTr="00EE5CA5">
        <w:tc>
          <w:tcPr>
            <w:tcW w:w="279" w:type="dxa"/>
          </w:tcPr>
          <w:p w14:paraId="3C1F0782" w14:textId="77777777" w:rsidR="00896240" w:rsidRDefault="00896240" w:rsidP="00102EFE"/>
        </w:tc>
        <w:tc>
          <w:tcPr>
            <w:tcW w:w="3969" w:type="dxa"/>
          </w:tcPr>
          <w:p w14:paraId="66432213" w14:textId="34269078" w:rsidR="00896240" w:rsidRDefault="00896240" w:rsidP="00EE5CA5">
            <w:r>
              <w:t>Sainsbury’s</w:t>
            </w:r>
          </w:p>
        </w:tc>
        <w:tc>
          <w:tcPr>
            <w:tcW w:w="1947" w:type="dxa"/>
          </w:tcPr>
          <w:p w14:paraId="0D6FE6F6" w14:textId="1AB7C81C" w:rsidR="00896240" w:rsidRDefault="008159DC" w:rsidP="00EE5CA5">
            <w:pPr>
              <w:jc w:val="right"/>
            </w:pPr>
            <w:r>
              <w:t>50,069 (34.8)</w:t>
            </w:r>
          </w:p>
        </w:tc>
        <w:tc>
          <w:tcPr>
            <w:tcW w:w="1948" w:type="dxa"/>
          </w:tcPr>
          <w:p w14:paraId="18FC31F4" w14:textId="70B18D5E" w:rsidR="00896240" w:rsidRDefault="008159DC" w:rsidP="00EE5CA5">
            <w:pPr>
              <w:jc w:val="right"/>
            </w:pPr>
            <w:r>
              <w:t>15,963 (18.0)</w:t>
            </w:r>
          </w:p>
        </w:tc>
        <w:tc>
          <w:tcPr>
            <w:tcW w:w="1066" w:type="dxa"/>
          </w:tcPr>
          <w:p w14:paraId="1E15152A" w14:textId="77777777" w:rsidR="00896240" w:rsidRDefault="00896240" w:rsidP="00EE5CA5">
            <w:pPr>
              <w:jc w:val="right"/>
            </w:pPr>
          </w:p>
        </w:tc>
      </w:tr>
      <w:tr w:rsidR="00896240" w14:paraId="7CC09C83" w14:textId="77777777" w:rsidTr="00EE5CA5">
        <w:tc>
          <w:tcPr>
            <w:tcW w:w="279" w:type="dxa"/>
          </w:tcPr>
          <w:p w14:paraId="203E7987" w14:textId="77777777" w:rsidR="00896240" w:rsidRDefault="00896240" w:rsidP="00102EFE"/>
        </w:tc>
        <w:tc>
          <w:tcPr>
            <w:tcW w:w="3969" w:type="dxa"/>
          </w:tcPr>
          <w:p w14:paraId="008DFEDE" w14:textId="6FADFC80" w:rsidR="00896240" w:rsidRDefault="00896240" w:rsidP="00EE5CA5">
            <w:r>
              <w:t>Asda</w:t>
            </w:r>
          </w:p>
        </w:tc>
        <w:tc>
          <w:tcPr>
            <w:tcW w:w="1947" w:type="dxa"/>
          </w:tcPr>
          <w:p w14:paraId="17C8EC23" w14:textId="168F8C7F" w:rsidR="00896240" w:rsidRDefault="008159DC" w:rsidP="00EE5CA5">
            <w:pPr>
              <w:jc w:val="right"/>
            </w:pPr>
            <w:r>
              <w:t>46,371 (32.2)</w:t>
            </w:r>
          </w:p>
        </w:tc>
        <w:tc>
          <w:tcPr>
            <w:tcW w:w="1948" w:type="dxa"/>
          </w:tcPr>
          <w:p w14:paraId="1217C81E" w14:textId="47FC4898" w:rsidR="00896240" w:rsidRDefault="008159DC" w:rsidP="00EE5CA5">
            <w:pPr>
              <w:jc w:val="right"/>
            </w:pPr>
            <w:r>
              <w:t>21,405 (24.2)</w:t>
            </w:r>
          </w:p>
        </w:tc>
        <w:tc>
          <w:tcPr>
            <w:tcW w:w="1066" w:type="dxa"/>
          </w:tcPr>
          <w:p w14:paraId="3564F2BA" w14:textId="6560E831" w:rsidR="00896240" w:rsidRDefault="008159DC" w:rsidP="00EE5CA5">
            <w:pPr>
              <w:jc w:val="right"/>
            </w:pPr>
            <w:r>
              <w:t>&lt;0.001</w:t>
            </w:r>
          </w:p>
        </w:tc>
      </w:tr>
      <w:tr w:rsidR="00896240" w14:paraId="0FEAEE3A" w14:textId="77777777" w:rsidTr="00EE5CA5">
        <w:tc>
          <w:tcPr>
            <w:tcW w:w="4248" w:type="dxa"/>
            <w:gridSpan w:val="2"/>
          </w:tcPr>
          <w:p w14:paraId="130769C4" w14:textId="3B874E44" w:rsidR="00896240" w:rsidRDefault="00896240" w:rsidP="00EE5CA5">
            <w:r>
              <w:t>Branded status, n (%)</w:t>
            </w:r>
          </w:p>
        </w:tc>
        <w:tc>
          <w:tcPr>
            <w:tcW w:w="1947" w:type="dxa"/>
          </w:tcPr>
          <w:p w14:paraId="58C25186" w14:textId="62773A60" w:rsidR="00896240" w:rsidRDefault="00896240" w:rsidP="00EE5CA5">
            <w:pPr>
              <w:jc w:val="right"/>
            </w:pPr>
          </w:p>
        </w:tc>
        <w:tc>
          <w:tcPr>
            <w:tcW w:w="1948" w:type="dxa"/>
          </w:tcPr>
          <w:p w14:paraId="31BE61BD" w14:textId="77777777" w:rsidR="00896240" w:rsidRDefault="00896240" w:rsidP="00EE5CA5">
            <w:pPr>
              <w:jc w:val="right"/>
            </w:pPr>
          </w:p>
        </w:tc>
        <w:tc>
          <w:tcPr>
            <w:tcW w:w="1066" w:type="dxa"/>
          </w:tcPr>
          <w:p w14:paraId="6FB86440" w14:textId="77777777" w:rsidR="00896240" w:rsidRDefault="00896240" w:rsidP="00EE5CA5">
            <w:pPr>
              <w:jc w:val="right"/>
            </w:pPr>
          </w:p>
        </w:tc>
      </w:tr>
      <w:tr w:rsidR="00896240" w14:paraId="1260CAF0" w14:textId="77777777" w:rsidTr="00EE5CA5">
        <w:tc>
          <w:tcPr>
            <w:tcW w:w="279" w:type="dxa"/>
          </w:tcPr>
          <w:p w14:paraId="42C1EE07" w14:textId="77777777" w:rsidR="00896240" w:rsidRDefault="00896240" w:rsidP="00102EFE"/>
        </w:tc>
        <w:tc>
          <w:tcPr>
            <w:tcW w:w="3969" w:type="dxa"/>
          </w:tcPr>
          <w:p w14:paraId="7C3A944C" w14:textId="600676A3" w:rsidR="00896240" w:rsidRDefault="00896240" w:rsidP="00EE5CA5">
            <w:r>
              <w:t>Branded</w:t>
            </w:r>
          </w:p>
        </w:tc>
        <w:tc>
          <w:tcPr>
            <w:tcW w:w="1947" w:type="dxa"/>
          </w:tcPr>
          <w:p w14:paraId="24D55CE9" w14:textId="61881F9D" w:rsidR="00896240" w:rsidRDefault="00A225AB" w:rsidP="00EE5CA5">
            <w:pPr>
              <w:jc w:val="right"/>
            </w:pPr>
            <w:r>
              <w:t>110,924 (77.0)</w:t>
            </w:r>
          </w:p>
        </w:tc>
        <w:tc>
          <w:tcPr>
            <w:tcW w:w="1948" w:type="dxa"/>
          </w:tcPr>
          <w:p w14:paraId="285A0C5F" w14:textId="12FE2024" w:rsidR="00896240" w:rsidRDefault="00A225AB" w:rsidP="00EE5CA5">
            <w:pPr>
              <w:jc w:val="right"/>
            </w:pPr>
            <w:r>
              <w:t>63,460 (71.6)</w:t>
            </w:r>
          </w:p>
        </w:tc>
        <w:tc>
          <w:tcPr>
            <w:tcW w:w="1066" w:type="dxa"/>
          </w:tcPr>
          <w:p w14:paraId="2199550E" w14:textId="77777777" w:rsidR="00896240" w:rsidRDefault="00896240" w:rsidP="00EE5CA5">
            <w:pPr>
              <w:jc w:val="right"/>
            </w:pPr>
          </w:p>
        </w:tc>
      </w:tr>
      <w:tr w:rsidR="00896240" w14:paraId="44C8D6A4" w14:textId="77777777" w:rsidTr="00EE5CA5">
        <w:tc>
          <w:tcPr>
            <w:tcW w:w="279" w:type="dxa"/>
          </w:tcPr>
          <w:p w14:paraId="26560C4A" w14:textId="77777777" w:rsidR="00896240" w:rsidRDefault="00896240" w:rsidP="00102EFE"/>
        </w:tc>
        <w:tc>
          <w:tcPr>
            <w:tcW w:w="3969" w:type="dxa"/>
          </w:tcPr>
          <w:p w14:paraId="45C2D67B" w14:textId="0CEC6CD0" w:rsidR="00896240" w:rsidRDefault="00896240" w:rsidP="00EE5CA5">
            <w:r>
              <w:t>Own-brand</w:t>
            </w:r>
          </w:p>
        </w:tc>
        <w:tc>
          <w:tcPr>
            <w:tcW w:w="1947" w:type="dxa"/>
          </w:tcPr>
          <w:p w14:paraId="4E224813" w14:textId="768DB7A5" w:rsidR="00896240" w:rsidRDefault="00A225AB" w:rsidP="00EE5CA5">
            <w:pPr>
              <w:jc w:val="right"/>
            </w:pPr>
            <w:r>
              <w:t>33,148 (23.0)</w:t>
            </w:r>
          </w:p>
        </w:tc>
        <w:tc>
          <w:tcPr>
            <w:tcW w:w="1948" w:type="dxa"/>
          </w:tcPr>
          <w:p w14:paraId="1433EEE6" w14:textId="5DC84D44" w:rsidR="00896240" w:rsidRDefault="00A225AB" w:rsidP="00EE5CA5">
            <w:pPr>
              <w:jc w:val="right"/>
            </w:pPr>
            <w:r>
              <w:t>25,162 (28.4)</w:t>
            </w:r>
          </w:p>
        </w:tc>
        <w:tc>
          <w:tcPr>
            <w:tcW w:w="1066" w:type="dxa"/>
          </w:tcPr>
          <w:p w14:paraId="2760B9E9" w14:textId="781EB5FC" w:rsidR="00896240" w:rsidRDefault="00A225AB" w:rsidP="00EE5CA5">
            <w:pPr>
              <w:jc w:val="right"/>
            </w:pPr>
            <w:r>
              <w:t>&lt;0.001</w:t>
            </w:r>
          </w:p>
        </w:tc>
      </w:tr>
      <w:tr w:rsidR="00896240" w14:paraId="2F2D552E" w14:textId="77777777" w:rsidTr="00EE5CA5">
        <w:tc>
          <w:tcPr>
            <w:tcW w:w="4248" w:type="dxa"/>
            <w:gridSpan w:val="2"/>
          </w:tcPr>
          <w:p w14:paraId="62821036" w14:textId="2926680B" w:rsidR="00896240" w:rsidRDefault="00896240" w:rsidP="00EE5CA5">
            <w:r>
              <w:t>SDIL status, n (%)</w:t>
            </w:r>
          </w:p>
        </w:tc>
        <w:tc>
          <w:tcPr>
            <w:tcW w:w="1947" w:type="dxa"/>
          </w:tcPr>
          <w:p w14:paraId="796EA412" w14:textId="5EAB08EB" w:rsidR="00896240" w:rsidRDefault="00896240" w:rsidP="00EE5CA5">
            <w:pPr>
              <w:jc w:val="right"/>
            </w:pPr>
          </w:p>
        </w:tc>
        <w:tc>
          <w:tcPr>
            <w:tcW w:w="1948" w:type="dxa"/>
          </w:tcPr>
          <w:p w14:paraId="24994CBD" w14:textId="77777777" w:rsidR="00896240" w:rsidRDefault="00896240" w:rsidP="00EE5CA5">
            <w:pPr>
              <w:jc w:val="right"/>
            </w:pPr>
          </w:p>
        </w:tc>
        <w:tc>
          <w:tcPr>
            <w:tcW w:w="1066" w:type="dxa"/>
          </w:tcPr>
          <w:p w14:paraId="2821AE6D" w14:textId="77777777" w:rsidR="00896240" w:rsidRDefault="00896240" w:rsidP="00EE5CA5">
            <w:pPr>
              <w:jc w:val="right"/>
            </w:pPr>
          </w:p>
        </w:tc>
      </w:tr>
      <w:tr w:rsidR="00896240" w14:paraId="645266FE" w14:textId="77777777" w:rsidTr="00EE5CA5">
        <w:tc>
          <w:tcPr>
            <w:tcW w:w="279" w:type="dxa"/>
          </w:tcPr>
          <w:p w14:paraId="7929876B" w14:textId="77777777" w:rsidR="00896240" w:rsidRDefault="00896240" w:rsidP="00102EFE"/>
        </w:tc>
        <w:tc>
          <w:tcPr>
            <w:tcW w:w="3969" w:type="dxa"/>
          </w:tcPr>
          <w:p w14:paraId="5E9912B4" w14:textId="424623E8" w:rsidR="00896240" w:rsidRDefault="00896240" w:rsidP="00EE5CA5">
            <w:r>
              <w:t>Intervention</w:t>
            </w:r>
          </w:p>
        </w:tc>
        <w:tc>
          <w:tcPr>
            <w:tcW w:w="1947" w:type="dxa"/>
          </w:tcPr>
          <w:p w14:paraId="493D1F8A" w14:textId="554B0368" w:rsidR="00896240" w:rsidRDefault="00A225AB" w:rsidP="00EE5CA5">
            <w:pPr>
              <w:jc w:val="right"/>
            </w:pPr>
            <w:r>
              <w:t>89,175 (61.9)</w:t>
            </w:r>
          </w:p>
        </w:tc>
        <w:tc>
          <w:tcPr>
            <w:tcW w:w="1948" w:type="dxa"/>
          </w:tcPr>
          <w:p w14:paraId="48EFBAC9" w14:textId="660D8110" w:rsidR="00896240" w:rsidRDefault="00A225AB" w:rsidP="00EE5CA5">
            <w:pPr>
              <w:jc w:val="right"/>
            </w:pPr>
            <w:r>
              <w:t>59,703 (67.4)</w:t>
            </w:r>
          </w:p>
        </w:tc>
        <w:tc>
          <w:tcPr>
            <w:tcW w:w="1066" w:type="dxa"/>
          </w:tcPr>
          <w:p w14:paraId="2FDDA011" w14:textId="77777777" w:rsidR="00896240" w:rsidRDefault="00896240" w:rsidP="00EE5CA5">
            <w:pPr>
              <w:jc w:val="right"/>
            </w:pPr>
          </w:p>
        </w:tc>
      </w:tr>
      <w:tr w:rsidR="00896240" w14:paraId="0C513ED6" w14:textId="77777777" w:rsidTr="00EE5CA5">
        <w:tc>
          <w:tcPr>
            <w:tcW w:w="279" w:type="dxa"/>
          </w:tcPr>
          <w:p w14:paraId="20477DFF" w14:textId="77777777" w:rsidR="00896240" w:rsidRDefault="00896240" w:rsidP="00102EFE"/>
        </w:tc>
        <w:tc>
          <w:tcPr>
            <w:tcW w:w="3969" w:type="dxa"/>
          </w:tcPr>
          <w:p w14:paraId="71B95B5A" w14:textId="6EF93DB2" w:rsidR="00896240" w:rsidRDefault="00896240" w:rsidP="00896240">
            <w:r>
              <w:t>Control</w:t>
            </w:r>
          </w:p>
        </w:tc>
        <w:tc>
          <w:tcPr>
            <w:tcW w:w="1947" w:type="dxa"/>
          </w:tcPr>
          <w:p w14:paraId="6EF282FB" w14:textId="0A4C7653" w:rsidR="00896240" w:rsidRDefault="00A225AB" w:rsidP="00896240">
            <w:pPr>
              <w:jc w:val="right"/>
            </w:pPr>
            <w:r>
              <w:t>54,897 (38.1)</w:t>
            </w:r>
          </w:p>
        </w:tc>
        <w:tc>
          <w:tcPr>
            <w:tcW w:w="1948" w:type="dxa"/>
          </w:tcPr>
          <w:p w14:paraId="6897B79D" w14:textId="5D4CAB5D" w:rsidR="00896240" w:rsidRDefault="00A225AB" w:rsidP="00896240">
            <w:pPr>
              <w:jc w:val="right"/>
            </w:pPr>
            <w:r>
              <w:t>28,919 (32.6)</w:t>
            </w:r>
          </w:p>
        </w:tc>
        <w:tc>
          <w:tcPr>
            <w:tcW w:w="1066" w:type="dxa"/>
          </w:tcPr>
          <w:p w14:paraId="1F6BF98C" w14:textId="1FBA3A66" w:rsidR="00896240" w:rsidRDefault="00A225AB" w:rsidP="00896240">
            <w:pPr>
              <w:jc w:val="right"/>
            </w:pPr>
            <w:r>
              <w:t>&lt;0.001</w:t>
            </w:r>
          </w:p>
        </w:tc>
      </w:tr>
      <w:tr w:rsidR="00896240" w14:paraId="2D5FDA07" w14:textId="77777777" w:rsidTr="00EE5CA5">
        <w:tc>
          <w:tcPr>
            <w:tcW w:w="4248" w:type="dxa"/>
            <w:gridSpan w:val="2"/>
          </w:tcPr>
          <w:p w14:paraId="487C82E3" w14:textId="47C1B210" w:rsidR="00896240" w:rsidRDefault="00896240">
            <w:r>
              <w:t>Price £ per 100ml, me</w:t>
            </w:r>
            <w:r w:rsidR="007C0336">
              <w:t>dian</w:t>
            </w:r>
            <w:r>
              <w:t xml:space="preserve"> (</w:t>
            </w:r>
            <w:r w:rsidR="007C0336">
              <w:t>IQR</w:t>
            </w:r>
            <w:r>
              <w:t>)</w:t>
            </w:r>
          </w:p>
        </w:tc>
        <w:tc>
          <w:tcPr>
            <w:tcW w:w="1947" w:type="dxa"/>
          </w:tcPr>
          <w:p w14:paraId="6BB60E56" w14:textId="73CEBED7" w:rsidR="00896240" w:rsidRDefault="008024DA" w:rsidP="00896240">
            <w:pPr>
              <w:jc w:val="right"/>
            </w:pPr>
            <w:r>
              <w:t>0.17 (0.10-0.27)</w:t>
            </w:r>
          </w:p>
        </w:tc>
        <w:tc>
          <w:tcPr>
            <w:tcW w:w="1948" w:type="dxa"/>
          </w:tcPr>
          <w:p w14:paraId="4250EB35" w14:textId="7764304F" w:rsidR="00896240" w:rsidRDefault="008024DA" w:rsidP="00896240">
            <w:pPr>
              <w:jc w:val="right"/>
            </w:pPr>
            <w:r>
              <w:t>0.15 (0.10-0.25)</w:t>
            </w:r>
          </w:p>
        </w:tc>
        <w:tc>
          <w:tcPr>
            <w:tcW w:w="1066" w:type="dxa"/>
          </w:tcPr>
          <w:p w14:paraId="355C34BC" w14:textId="5FC40C19" w:rsidR="00896240" w:rsidRDefault="008024DA" w:rsidP="00896240">
            <w:pPr>
              <w:jc w:val="right"/>
            </w:pPr>
            <w:r>
              <w:t>&lt;0.001</w:t>
            </w:r>
          </w:p>
        </w:tc>
      </w:tr>
      <w:tr w:rsidR="00896240" w14:paraId="2FDCFF5C" w14:textId="77777777" w:rsidTr="00EE5CA5">
        <w:tc>
          <w:tcPr>
            <w:tcW w:w="4248" w:type="dxa"/>
            <w:gridSpan w:val="2"/>
          </w:tcPr>
          <w:p w14:paraId="4B6D6ACF" w14:textId="0E583365" w:rsidR="00896240" w:rsidRDefault="00896240">
            <w:r>
              <w:t>Product size ml, me</w:t>
            </w:r>
            <w:r w:rsidR="007C0336">
              <w:t>di</w:t>
            </w:r>
            <w:r>
              <w:t>an (</w:t>
            </w:r>
            <w:r w:rsidR="007C0336">
              <w:t>IQR</w:t>
            </w:r>
            <w:r>
              <w:t>)</w:t>
            </w:r>
          </w:p>
        </w:tc>
        <w:tc>
          <w:tcPr>
            <w:tcW w:w="1947" w:type="dxa"/>
          </w:tcPr>
          <w:p w14:paraId="3FA75A98" w14:textId="548CBCA2" w:rsidR="00896240" w:rsidRDefault="008024DA" w:rsidP="00896240">
            <w:pPr>
              <w:jc w:val="right"/>
            </w:pPr>
            <w:r>
              <w:t>1000 (604-1500)</w:t>
            </w:r>
          </w:p>
        </w:tc>
        <w:tc>
          <w:tcPr>
            <w:tcW w:w="1948" w:type="dxa"/>
          </w:tcPr>
          <w:p w14:paraId="124B596E" w14:textId="0326CE48" w:rsidR="00896240" w:rsidRDefault="008024DA" w:rsidP="00896240">
            <w:pPr>
              <w:jc w:val="right"/>
            </w:pPr>
            <w:r>
              <w:t>1000 (500-1500)</w:t>
            </w:r>
          </w:p>
        </w:tc>
        <w:tc>
          <w:tcPr>
            <w:tcW w:w="1066" w:type="dxa"/>
          </w:tcPr>
          <w:p w14:paraId="6FB28D20" w14:textId="4E887604" w:rsidR="00896240" w:rsidRDefault="008024DA" w:rsidP="00896240">
            <w:pPr>
              <w:jc w:val="right"/>
            </w:pPr>
            <w:r>
              <w:t>0.504</w:t>
            </w:r>
          </w:p>
        </w:tc>
      </w:tr>
      <w:tr w:rsidR="00896240" w14:paraId="00D3EFF6" w14:textId="77777777" w:rsidTr="00EE5CA5">
        <w:tc>
          <w:tcPr>
            <w:tcW w:w="4248" w:type="dxa"/>
            <w:gridSpan w:val="2"/>
            <w:tcBorders>
              <w:bottom w:val="single" w:sz="4" w:space="0" w:color="auto"/>
            </w:tcBorders>
          </w:tcPr>
          <w:p w14:paraId="3FD257EE" w14:textId="5726476D" w:rsidR="00896240" w:rsidRDefault="00896240">
            <w:r>
              <w:t>Sugar g per 100ml, me</w:t>
            </w:r>
            <w:r w:rsidR="007C0336">
              <w:t>di</w:t>
            </w:r>
            <w:r>
              <w:t>an (</w:t>
            </w:r>
            <w:r w:rsidR="007C0336">
              <w:t>IQR</w:t>
            </w:r>
            <w:r>
              <w:t>)</w:t>
            </w:r>
          </w:p>
        </w:tc>
        <w:tc>
          <w:tcPr>
            <w:tcW w:w="1947" w:type="dxa"/>
            <w:tcBorders>
              <w:bottom w:val="single" w:sz="4" w:space="0" w:color="auto"/>
            </w:tcBorders>
          </w:tcPr>
          <w:p w14:paraId="0384194F" w14:textId="3B6F4F4E" w:rsidR="00896240" w:rsidRDefault="008024DA" w:rsidP="00896240">
            <w:pPr>
              <w:jc w:val="right"/>
            </w:pPr>
            <w:r>
              <w:t>4.6 (0.5-8.6)</w:t>
            </w:r>
          </w:p>
        </w:tc>
        <w:tc>
          <w:tcPr>
            <w:tcW w:w="1948" w:type="dxa"/>
            <w:tcBorders>
              <w:bottom w:val="single" w:sz="4" w:space="0" w:color="auto"/>
            </w:tcBorders>
          </w:tcPr>
          <w:p w14:paraId="7DCBA8FD" w14:textId="24EC4232" w:rsidR="00896240" w:rsidRDefault="008024DA" w:rsidP="00896240">
            <w:pPr>
              <w:jc w:val="right"/>
            </w:pPr>
            <w:r>
              <w:t>5.1 (0.5-10.0)</w:t>
            </w:r>
          </w:p>
        </w:tc>
        <w:tc>
          <w:tcPr>
            <w:tcW w:w="1066" w:type="dxa"/>
            <w:tcBorders>
              <w:bottom w:val="single" w:sz="4" w:space="0" w:color="auto"/>
            </w:tcBorders>
          </w:tcPr>
          <w:p w14:paraId="091EE215" w14:textId="1C6A50D1" w:rsidR="00896240" w:rsidRDefault="008024DA" w:rsidP="00896240">
            <w:pPr>
              <w:jc w:val="right"/>
            </w:pPr>
            <w:r>
              <w:t>&lt;0.001</w:t>
            </w:r>
          </w:p>
        </w:tc>
      </w:tr>
    </w:tbl>
    <w:p w14:paraId="26BB4DD4" w14:textId="4CAFD004" w:rsidR="00896240" w:rsidRPr="00EE5CA5" w:rsidRDefault="007C0336" w:rsidP="00102EFE">
      <w:pPr>
        <w:rPr>
          <w:i/>
        </w:rPr>
      </w:pPr>
      <w:r w:rsidRPr="00EE5CA5">
        <w:rPr>
          <w:i/>
          <w:vertAlign w:val="superscript"/>
        </w:rPr>
        <w:t xml:space="preserve">1 </w:t>
      </w:r>
      <w:r>
        <w:rPr>
          <w:i/>
        </w:rPr>
        <w:t>p values are derived from Chi-squared tests for categorical variables and Wilcoxon rank-sum tests for continuous variables</w:t>
      </w:r>
    </w:p>
    <w:p w14:paraId="3F8400AA" w14:textId="77777777" w:rsidR="00896240" w:rsidRDefault="00896240" w:rsidP="00102EFE"/>
    <w:p w14:paraId="1565B205" w14:textId="009D7C3E" w:rsidR="00102EFE" w:rsidRDefault="00E518FD" w:rsidP="00102EFE">
      <w:r>
        <w:t>Fig</w:t>
      </w:r>
      <w:r w:rsidR="000927F1">
        <w:t xml:space="preserve"> </w:t>
      </w:r>
      <w:r w:rsidR="00E110C8">
        <w:t>E</w:t>
      </w:r>
      <w:r w:rsidR="000927F1">
        <w:t xml:space="preserve"> shows overlapping trends in key variables between the two datasets</w:t>
      </w:r>
      <w:r w:rsidR="005977D1">
        <w:t xml:space="preserve">. For mean sugar levels, price and product size there is strong agreement between the two datasets for own-brand products. However, for branded products there is less agreement. Mean </w:t>
      </w:r>
      <w:r w:rsidR="007A2CF4">
        <w:t xml:space="preserve">product </w:t>
      </w:r>
      <w:r w:rsidR="005977D1">
        <w:t xml:space="preserve">size and price were higher in branded foods </w:t>
      </w:r>
      <w:r w:rsidR="000927F1">
        <w:t>(b</w:t>
      </w:r>
      <w:r w:rsidR="007F2DA2">
        <w:t xml:space="preserve">y 65ml and 0.99p per 100ml, respectively) </w:t>
      </w:r>
      <w:r w:rsidR="005977D1">
        <w:t xml:space="preserve">in the </w:t>
      </w:r>
      <w:proofErr w:type="spellStart"/>
      <w:r w:rsidR="005977D1">
        <w:t>foodDB</w:t>
      </w:r>
      <w:proofErr w:type="spellEnd"/>
      <w:r w:rsidR="005977D1">
        <w:t xml:space="preserve"> dataset than in the </w:t>
      </w:r>
      <w:proofErr w:type="spellStart"/>
      <w:r w:rsidR="005977D1">
        <w:t>BrandView</w:t>
      </w:r>
      <w:proofErr w:type="spellEnd"/>
      <w:r w:rsidR="005977D1">
        <w:t xml:space="preserve"> dataset, and mean sugar levels were lower</w:t>
      </w:r>
      <w:r w:rsidR="007F2DA2">
        <w:t xml:space="preserve"> by 0.16g per 100ml.</w:t>
      </w:r>
    </w:p>
    <w:p w14:paraId="7A4F8005" w14:textId="56B4CCE3" w:rsidR="007F2DA2" w:rsidRDefault="007F2DA2">
      <w:pPr>
        <w:rPr>
          <w:b/>
        </w:rPr>
      </w:pPr>
      <w:r>
        <w:t xml:space="preserve">Both the </w:t>
      </w:r>
      <w:proofErr w:type="spellStart"/>
      <w:r>
        <w:t>foodDB</w:t>
      </w:r>
      <w:proofErr w:type="spellEnd"/>
      <w:r>
        <w:t xml:space="preserve"> and </w:t>
      </w:r>
      <w:proofErr w:type="spellStart"/>
      <w:r>
        <w:t>BrandView</w:t>
      </w:r>
      <w:proofErr w:type="spellEnd"/>
      <w:r>
        <w:t xml:space="preserve"> datasets collected similar number of own-brand products at each data collection snapshot, but </w:t>
      </w:r>
      <w:proofErr w:type="spellStart"/>
      <w:r>
        <w:t>foodDB</w:t>
      </w:r>
      <w:proofErr w:type="spellEnd"/>
      <w:r>
        <w:t xml:space="preserve"> collected on average 225 more branded drinks per snapshot.</w:t>
      </w:r>
    </w:p>
    <w:p w14:paraId="134124F6" w14:textId="77777777" w:rsidR="00896240" w:rsidRDefault="00896240" w:rsidP="004E2C45">
      <w:pPr>
        <w:rPr>
          <w:b/>
        </w:rPr>
      </w:pPr>
    </w:p>
    <w:p w14:paraId="5D460A36" w14:textId="77777777" w:rsidR="00FC32BC" w:rsidRDefault="00FC32BC">
      <w:pPr>
        <w:rPr>
          <w:b/>
        </w:rPr>
      </w:pPr>
      <w:r>
        <w:rPr>
          <w:b/>
        </w:rPr>
        <w:br w:type="page"/>
      </w:r>
    </w:p>
    <w:p w14:paraId="489B6BBF" w14:textId="1E1CEF34" w:rsidR="005977D1" w:rsidRDefault="00E518FD" w:rsidP="004E2C45">
      <w:pPr>
        <w:rPr>
          <w:b/>
        </w:rPr>
      </w:pPr>
      <w:r>
        <w:rPr>
          <w:b/>
        </w:rPr>
        <w:lastRenderedPageBreak/>
        <w:t>Fig</w:t>
      </w:r>
      <w:r w:rsidR="005977D1">
        <w:rPr>
          <w:b/>
        </w:rPr>
        <w:t xml:space="preserve"> </w:t>
      </w:r>
      <w:r w:rsidR="00E110C8">
        <w:rPr>
          <w:b/>
        </w:rPr>
        <w:t>E</w:t>
      </w:r>
      <w:r w:rsidR="005977D1">
        <w:rPr>
          <w:b/>
        </w:rPr>
        <w:t xml:space="preserve"> Comparison of trend data in </w:t>
      </w:r>
      <w:proofErr w:type="spellStart"/>
      <w:r w:rsidR="005977D1">
        <w:rPr>
          <w:b/>
        </w:rPr>
        <w:t>BrandView</w:t>
      </w:r>
      <w:proofErr w:type="spellEnd"/>
      <w:r w:rsidR="005977D1">
        <w:rPr>
          <w:b/>
        </w:rPr>
        <w:t xml:space="preserve"> (Sep 15 – Sep 18) and </w:t>
      </w:r>
      <w:proofErr w:type="spellStart"/>
      <w:r w:rsidR="005977D1">
        <w:rPr>
          <w:b/>
        </w:rPr>
        <w:t>foodDB</w:t>
      </w:r>
      <w:proofErr w:type="spellEnd"/>
      <w:r w:rsidR="005977D1">
        <w:rPr>
          <w:b/>
        </w:rPr>
        <w:t xml:space="preserve"> (Nov 17 – Feb 19) for branded and own-brand products separately for A: number of drinks per snapshot, B: mean sugar level (g per 100ml), C: mean price (p per 100ml), D: mean product size (ml)</w:t>
      </w:r>
    </w:p>
    <w:p w14:paraId="69096437" w14:textId="1B94CA17" w:rsidR="00B86C99" w:rsidRPr="004E2C45" w:rsidRDefault="005977D1" w:rsidP="004E2C45">
      <w:r>
        <w:rPr>
          <w:b/>
          <w:noProof/>
          <w:lang w:eastAsia="en-GB"/>
        </w:rPr>
        <w:drawing>
          <wp:inline distT="0" distB="0" distL="0" distR="0" wp14:anchorId="2FE75793" wp14:editId="030FC8C4">
            <wp:extent cx="5731510" cy="42030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rison of datasets_15MAY2019.jpe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03065"/>
                    </a:xfrm>
                    <a:prstGeom prst="rect">
                      <a:avLst/>
                    </a:prstGeom>
                  </pic:spPr>
                </pic:pic>
              </a:graphicData>
            </a:graphic>
          </wp:inline>
        </w:drawing>
      </w:r>
    </w:p>
    <w:sectPr w:rsidR="00B86C99" w:rsidRPr="004E2C4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B925A" w14:textId="77777777" w:rsidR="00EF07AD" w:rsidRDefault="00EF07AD" w:rsidP="00377BE1">
      <w:pPr>
        <w:spacing w:after="0" w:line="240" w:lineRule="auto"/>
      </w:pPr>
      <w:r>
        <w:separator/>
      </w:r>
    </w:p>
  </w:endnote>
  <w:endnote w:type="continuationSeparator" w:id="0">
    <w:p w14:paraId="5D4CA555" w14:textId="77777777" w:rsidR="00EF07AD" w:rsidRDefault="00EF07AD" w:rsidP="0037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129357"/>
      <w:docPartObj>
        <w:docPartGallery w:val="Page Numbers (Bottom of Page)"/>
        <w:docPartUnique/>
      </w:docPartObj>
    </w:sdtPr>
    <w:sdtEndPr>
      <w:rPr>
        <w:noProof/>
      </w:rPr>
    </w:sdtEndPr>
    <w:sdtContent>
      <w:p w14:paraId="2CE15241" w14:textId="46D9EEDE" w:rsidR="00EF07AD" w:rsidRDefault="00EF07AD">
        <w:pPr>
          <w:pStyle w:val="Footer"/>
          <w:jc w:val="right"/>
        </w:pPr>
        <w:r>
          <w:fldChar w:fldCharType="begin"/>
        </w:r>
        <w:r>
          <w:instrText xml:space="preserve"> PAGE   \* MERGEFORMAT </w:instrText>
        </w:r>
        <w:r>
          <w:fldChar w:fldCharType="separate"/>
        </w:r>
        <w:r w:rsidR="00E110C8">
          <w:rPr>
            <w:noProof/>
          </w:rPr>
          <w:t>2</w:t>
        </w:r>
        <w:r>
          <w:rPr>
            <w:noProof/>
          </w:rPr>
          <w:fldChar w:fldCharType="end"/>
        </w:r>
      </w:p>
    </w:sdtContent>
  </w:sdt>
  <w:p w14:paraId="26EC144E" w14:textId="77777777" w:rsidR="00EF07AD" w:rsidRDefault="00EF0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184DD" w14:textId="77777777" w:rsidR="00EF07AD" w:rsidRDefault="00EF07AD" w:rsidP="00377BE1">
      <w:pPr>
        <w:spacing w:after="0" w:line="240" w:lineRule="auto"/>
      </w:pPr>
      <w:r>
        <w:separator/>
      </w:r>
    </w:p>
  </w:footnote>
  <w:footnote w:type="continuationSeparator" w:id="0">
    <w:p w14:paraId="28A460FA" w14:textId="77777777" w:rsidR="00EF07AD" w:rsidRDefault="00EF07AD" w:rsidP="00377BE1">
      <w:pPr>
        <w:spacing w:after="0" w:line="240" w:lineRule="auto"/>
      </w:pPr>
      <w:r>
        <w:continuationSeparator/>
      </w:r>
    </w:p>
  </w:footnote>
  <w:footnote w:id="1">
    <w:p w14:paraId="75EB6744" w14:textId="14B1B727" w:rsidR="00EF07AD" w:rsidRDefault="00EF07AD">
      <w:pPr>
        <w:pStyle w:val="FootnoteText"/>
      </w:pPr>
      <w:r>
        <w:rPr>
          <w:rStyle w:val="FootnoteReference"/>
        </w:rPr>
        <w:footnoteRef/>
      </w:r>
      <w:r>
        <w:t xml:space="preserve"> </w:t>
      </w:r>
      <w:r w:rsidRPr="008E6827">
        <w:t xml:space="preserve">Kantar World Panel. Grocery market share UK. 12 weeks ending September 2018. Available at </w:t>
      </w:r>
      <w:hyperlink r:id="rId1" w:history="1">
        <w:r w:rsidRPr="00D8022B">
          <w:rPr>
            <w:rStyle w:val="Hyperlink"/>
          </w:rPr>
          <w:t>https://www.kantarworldpanel.com/en/grocery-market-share/great-britain</w:t>
        </w:r>
      </w:hyperlink>
      <w:r>
        <w:t xml:space="preserve"> </w:t>
      </w:r>
      <w:r w:rsidRPr="008E6827">
        <w:t>Accessed 24th April 2019.</w:t>
      </w:r>
    </w:p>
  </w:footnote>
  <w:footnote w:id="2">
    <w:p w14:paraId="204A5CFD" w14:textId="6F90D703" w:rsidR="00EF07AD" w:rsidRDefault="00EF07AD">
      <w:pPr>
        <w:pStyle w:val="FootnoteText"/>
      </w:pPr>
      <w:r>
        <w:rPr>
          <w:rStyle w:val="FootnoteReference"/>
        </w:rPr>
        <w:footnoteRef/>
      </w:r>
      <w:r>
        <w:t xml:space="preserve"> </w:t>
      </w:r>
      <w:r w:rsidRPr="008E6827">
        <w:t xml:space="preserve">Harrington RA, </w:t>
      </w:r>
      <w:proofErr w:type="spellStart"/>
      <w:r w:rsidRPr="008E6827">
        <w:t>Adhikari</w:t>
      </w:r>
      <w:proofErr w:type="spellEnd"/>
      <w:r w:rsidRPr="008E6827">
        <w:t xml:space="preserve"> V, Rayner M, Scarborough P. Nutrient composition databases in the age of big data: </w:t>
      </w:r>
      <w:proofErr w:type="spellStart"/>
      <w:r w:rsidRPr="008E6827">
        <w:t>foodDB</w:t>
      </w:r>
      <w:proofErr w:type="spellEnd"/>
      <w:r w:rsidRPr="008E6827">
        <w:t xml:space="preserve">, a comprehensive, real-time database infrastructure. </w:t>
      </w:r>
      <w:r w:rsidRPr="008E6827">
        <w:rPr>
          <w:i/>
        </w:rPr>
        <w:t>BMJ Open</w:t>
      </w:r>
      <w:r>
        <w:t>, 2019 (in press)</w:t>
      </w:r>
      <w:r w:rsidRPr="008E682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947C8"/>
    <w:multiLevelType w:val="hybridMultilevel"/>
    <w:tmpl w:val="F33C05C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E0"/>
    <w:rsid w:val="0000538E"/>
    <w:rsid w:val="00015189"/>
    <w:rsid w:val="00063089"/>
    <w:rsid w:val="000927F1"/>
    <w:rsid w:val="000A482C"/>
    <w:rsid w:val="000E49DC"/>
    <w:rsid w:val="00102EFE"/>
    <w:rsid w:val="001074EE"/>
    <w:rsid w:val="00133158"/>
    <w:rsid w:val="0014399B"/>
    <w:rsid w:val="0016466A"/>
    <w:rsid w:val="0018253B"/>
    <w:rsid w:val="001A6ED7"/>
    <w:rsid w:val="001A7AC3"/>
    <w:rsid w:val="002313E9"/>
    <w:rsid w:val="00303B5F"/>
    <w:rsid w:val="0034485E"/>
    <w:rsid w:val="003622E1"/>
    <w:rsid w:val="00377BE1"/>
    <w:rsid w:val="00387F85"/>
    <w:rsid w:val="00391DB9"/>
    <w:rsid w:val="003A183C"/>
    <w:rsid w:val="004167EE"/>
    <w:rsid w:val="00420F4E"/>
    <w:rsid w:val="0042191C"/>
    <w:rsid w:val="00426870"/>
    <w:rsid w:val="00426DCA"/>
    <w:rsid w:val="00452684"/>
    <w:rsid w:val="00453EA0"/>
    <w:rsid w:val="00471163"/>
    <w:rsid w:val="004B609E"/>
    <w:rsid w:val="004E00AE"/>
    <w:rsid w:val="004E2C45"/>
    <w:rsid w:val="004E5B03"/>
    <w:rsid w:val="00512819"/>
    <w:rsid w:val="00514FBC"/>
    <w:rsid w:val="00521F3E"/>
    <w:rsid w:val="00595D4C"/>
    <w:rsid w:val="005977D1"/>
    <w:rsid w:val="006001DA"/>
    <w:rsid w:val="00622D61"/>
    <w:rsid w:val="006401DF"/>
    <w:rsid w:val="0065414B"/>
    <w:rsid w:val="0066463E"/>
    <w:rsid w:val="00673606"/>
    <w:rsid w:val="00695AB7"/>
    <w:rsid w:val="006C3868"/>
    <w:rsid w:val="006D428A"/>
    <w:rsid w:val="006F2009"/>
    <w:rsid w:val="0073685D"/>
    <w:rsid w:val="00752613"/>
    <w:rsid w:val="00797053"/>
    <w:rsid w:val="007A2CF4"/>
    <w:rsid w:val="007C0336"/>
    <w:rsid w:val="007F2DA2"/>
    <w:rsid w:val="008024DA"/>
    <w:rsid w:val="008159DC"/>
    <w:rsid w:val="00836B0F"/>
    <w:rsid w:val="00896240"/>
    <w:rsid w:val="008A4B91"/>
    <w:rsid w:val="008D78B0"/>
    <w:rsid w:val="008E6827"/>
    <w:rsid w:val="009303A9"/>
    <w:rsid w:val="009305FD"/>
    <w:rsid w:val="00952D09"/>
    <w:rsid w:val="00960D9A"/>
    <w:rsid w:val="00963389"/>
    <w:rsid w:val="009822CF"/>
    <w:rsid w:val="009E4012"/>
    <w:rsid w:val="009E6B8D"/>
    <w:rsid w:val="00A225AB"/>
    <w:rsid w:val="00A239F0"/>
    <w:rsid w:val="00A47570"/>
    <w:rsid w:val="00A651E1"/>
    <w:rsid w:val="00A939D1"/>
    <w:rsid w:val="00AB5937"/>
    <w:rsid w:val="00AD5A1F"/>
    <w:rsid w:val="00AD6CFD"/>
    <w:rsid w:val="00B06778"/>
    <w:rsid w:val="00B274E2"/>
    <w:rsid w:val="00B47C54"/>
    <w:rsid w:val="00B512E0"/>
    <w:rsid w:val="00B86C99"/>
    <w:rsid w:val="00BB0A7E"/>
    <w:rsid w:val="00BB2173"/>
    <w:rsid w:val="00C15B73"/>
    <w:rsid w:val="00C3655A"/>
    <w:rsid w:val="00C519BC"/>
    <w:rsid w:val="00CB7CB3"/>
    <w:rsid w:val="00D11398"/>
    <w:rsid w:val="00D428E9"/>
    <w:rsid w:val="00DD0FAE"/>
    <w:rsid w:val="00DE313D"/>
    <w:rsid w:val="00DF6957"/>
    <w:rsid w:val="00E110C8"/>
    <w:rsid w:val="00E37505"/>
    <w:rsid w:val="00E4547F"/>
    <w:rsid w:val="00E518FD"/>
    <w:rsid w:val="00E76AF8"/>
    <w:rsid w:val="00E83D28"/>
    <w:rsid w:val="00EA5161"/>
    <w:rsid w:val="00EA6183"/>
    <w:rsid w:val="00ED540C"/>
    <w:rsid w:val="00EE5CA5"/>
    <w:rsid w:val="00EF07AD"/>
    <w:rsid w:val="00F22575"/>
    <w:rsid w:val="00F270B7"/>
    <w:rsid w:val="00F44F1A"/>
    <w:rsid w:val="00F61034"/>
    <w:rsid w:val="00F97E58"/>
    <w:rsid w:val="00FA287E"/>
    <w:rsid w:val="00FB737C"/>
    <w:rsid w:val="00FC32BC"/>
    <w:rsid w:val="00FE3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D28E"/>
  <w15:chartTrackingRefBased/>
  <w15:docId w15:val="{EA44B590-5615-4B54-8861-627E4144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2684"/>
    <w:pPr>
      <w:keepNext/>
      <w:keepLines/>
      <w:spacing w:before="240" w:after="0"/>
      <w:outlineLvl w:val="0"/>
    </w:pPr>
    <w:rPr>
      <w:rFonts w:asciiTheme="majorHAnsi" w:eastAsiaTheme="majorEastAsia" w:hAnsiTheme="majorHAnsi" w:cstheme="majorBidi"/>
      <w:b/>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12E0"/>
    <w:rPr>
      <w:sz w:val="16"/>
      <w:szCs w:val="16"/>
    </w:rPr>
  </w:style>
  <w:style w:type="paragraph" w:styleId="CommentText">
    <w:name w:val="annotation text"/>
    <w:basedOn w:val="Normal"/>
    <w:link w:val="CommentTextChar"/>
    <w:uiPriority w:val="99"/>
    <w:semiHidden/>
    <w:unhideWhenUsed/>
    <w:rsid w:val="00B512E0"/>
    <w:pPr>
      <w:spacing w:line="240" w:lineRule="auto"/>
    </w:pPr>
    <w:rPr>
      <w:sz w:val="20"/>
      <w:szCs w:val="20"/>
    </w:rPr>
  </w:style>
  <w:style w:type="character" w:customStyle="1" w:styleId="CommentTextChar">
    <w:name w:val="Comment Text Char"/>
    <w:basedOn w:val="DefaultParagraphFont"/>
    <w:link w:val="CommentText"/>
    <w:uiPriority w:val="99"/>
    <w:semiHidden/>
    <w:rsid w:val="00B512E0"/>
    <w:rPr>
      <w:sz w:val="20"/>
      <w:szCs w:val="20"/>
    </w:rPr>
  </w:style>
  <w:style w:type="paragraph" w:styleId="CommentSubject">
    <w:name w:val="annotation subject"/>
    <w:basedOn w:val="CommentText"/>
    <w:next w:val="CommentText"/>
    <w:link w:val="CommentSubjectChar"/>
    <w:uiPriority w:val="99"/>
    <w:semiHidden/>
    <w:unhideWhenUsed/>
    <w:rsid w:val="00B512E0"/>
    <w:rPr>
      <w:b/>
      <w:bCs/>
    </w:rPr>
  </w:style>
  <w:style w:type="character" w:customStyle="1" w:styleId="CommentSubjectChar">
    <w:name w:val="Comment Subject Char"/>
    <w:basedOn w:val="CommentTextChar"/>
    <w:link w:val="CommentSubject"/>
    <w:uiPriority w:val="99"/>
    <w:semiHidden/>
    <w:rsid w:val="00B512E0"/>
    <w:rPr>
      <w:b/>
      <w:bCs/>
      <w:sz w:val="20"/>
      <w:szCs w:val="20"/>
    </w:rPr>
  </w:style>
  <w:style w:type="paragraph" w:styleId="BalloonText">
    <w:name w:val="Balloon Text"/>
    <w:basedOn w:val="Normal"/>
    <w:link w:val="BalloonTextChar"/>
    <w:uiPriority w:val="99"/>
    <w:semiHidden/>
    <w:unhideWhenUsed/>
    <w:rsid w:val="00B51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E0"/>
    <w:rPr>
      <w:rFonts w:ascii="Segoe UI" w:hAnsi="Segoe UI" w:cs="Segoe UI"/>
      <w:sz w:val="18"/>
      <w:szCs w:val="18"/>
    </w:rPr>
  </w:style>
  <w:style w:type="paragraph" w:styleId="Header">
    <w:name w:val="header"/>
    <w:basedOn w:val="Normal"/>
    <w:link w:val="HeaderChar"/>
    <w:uiPriority w:val="99"/>
    <w:unhideWhenUsed/>
    <w:rsid w:val="0037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BE1"/>
  </w:style>
  <w:style w:type="paragraph" w:styleId="Footer">
    <w:name w:val="footer"/>
    <w:basedOn w:val="Normal"/>
    <w:link w:val="FooterChar"/>
    <w:uiPriority w:val="99"/>
    <w:unhideWhenUsed/>
    <w:rsid w:val="0037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BE1"/>
  </w:style>
  <w:style w:type="character" w:styleId="Hyperlink">
    <w:name w:val="Hyperlink"/>
    <w:basedOn w:val="DefaultParagraphFont"/>
    <w:uiPriority w:val="99"/>
    <w:unhideWhenUsed/>
    <w:rsid w:val="00377BE1"/>
    <w:rPr>
      <w:color w:val="0563C1" w:themeColor="hyperlink"/>
      <w:u w:val="single"/>
    </w:rPr>
  </w:style>
  <w:style w:type="character" w:styleId="FollowedHyperlink">
    <w:name w:val="FollowedHyperlink"/>
    <w:basedOn w:val="DefaultParagraphFont"/>
    <w:uiPriority w:val="99"/>
    <w:semiHidden/>
    <w:unhideWhenUsed/>
    <w:rsid w:val="00377BE1"/>
    <w:rPr>
      <w:color w:val="954F72" w:themeColor="followedHyperlink"/>
      <w:u w:val="single"/>
    </w:rPr>
  </w:style>
  <w:style w:type="table" w:styleId="TableGrid">
    <w:name w:val="Table Grid"/>
    <w:basedOn w:val="TableNormal"/>
    <w:uiPriority w:val="39"/>
    <w:rsid w:val="0018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6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827"/>
    <w:rPr>
      <w:sz w:val="20"/>
      <w:szCs w:val="20"/>
    </w:rPr>
  </w:style>
  <w:style w:type="character" w:styleId="FootnoteReference">
    <w:name w:val="footnote reference"/>
    <w:basedOn w:val="DefaultParagraphFont"/>
    <w:uiPriority w:val="99"/>
    <w:semiHidden/>
    <w:unhideWhenUsed/>
    <w:rsid w:val="008E6827"/>
    <w:rPr>
      <w:vertAlign w:val="superscript"/>
    </w:rPr>
  </w:style>
  <w:style w:type="paragraph" w:styleId="ListParagraph">
    <w:name w:val="List Paragraph"/>
    <w:basedOn w:val="Normal"/>
    <w:uiPriority w:val="34"/>
    <w:qFormat/>
    <w:rsid w:val="004E2C45"/>
    <w:pPr>
      <w:ind w:left="720"/>
      <w:contextualSpacing/>
    </w:pPr>
  </w:style>
  <w:style w:type="character" w:customStyle="1" w:styleId="Heading1Char">
    <w:name w:val="Heading 1 Char"/>
    <w:basedOn w:val="DefaultParagraphFont"/>
    <w:link w:val="Heading1"/>
    <w:uiPriority w:val="9"/>
    <w:rsid w:val="00452684"/>
    <w:rPr>
      <w:rFonts w:asciiTheme="majorHAnsi" w:eastAsiaTheme="majorEastAsia" w:hAnsiTheme="majorHAnsi" w:cstheme="majorBidi"/>
      <w:b/>
      <w:color w:val="2E74B5" w:themeColor="accent1" w:themeShade="BF"/>
      <w:sz w:val="24"/>
      <w:szCs w:val="32"/>
    </w:rPr>
  </w:style>
  <w:style w:type="paragraph" w:styleId="TOCHeading">
    <w:name w:val="TOC Heading"/>
    <w:basedOn w:val="Heading1"/>
    <w:next w:val="Normal"/>
    <w:uiPriority w:val="39"/>
    <w:unhideWhenUsed/>
    <w:qFormat/>
    <w:rsid w:val="00C15B73"/>
    <w:pPr>
      <w:outlineLvl w:val="9"/>
    </w:pPr>
    <w:rPr>
      <w:b w:val="0"/>
      <w:sz w:val="32"/>
      <w:lang w:val="en-US"/>
    </w:rPr>
  </w:style>
  <w:style w:type="paragraph" w:styleId="TOC1">
    <w:name w:val="toc 1"/>
    <w:basedOn w:val="Normal"/>
    <w:next w:val="Normal"/>
    <w:autoRedefine/>
    <w:uiPriority w:val="39"/>
    <w:unhideWhenUsed/>
    <w:rsid w:val="00C15B73"/>
    <w:pPr>
      <w:spacing w:after="100"/>
    </w:pPr>
  </w:style>
  <w:style w:type="paragraph" w:customStyle="1" w:styleId="Default">
    <w:name w:val="Default"/>
    <w:rsid w:val="000053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kantarworldpanel.com/en/grocery-market-share/great-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0BAC3-868C-4F98-B597-BFC3EBF4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Scarborough</dc:creator>
  <cp:keywords/>
  <dc:description/>
  <cp:lastModifiedBy>Scarborough</cp:lastModifiedBy>
  <cp:revision>3</cp:revision>
  <dcterms:created xsi:type="dcterms:W3CDTF">2019-12-19T15:04:00Z</dcterms:created>
  <dcterms:modified xsi:type="dcterms:W3CDTF">2019-12-19T15:11:00Z</dcterms:modified>
</cp:coreProperties>
</file>