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EDF2" w14:textId="77777777" w:rsidR="00364EF8" w:rsidRPr="00D664B3" w:rsidRDefault="00364EF8" w:rsidP="00364EF8">
      <w:pPr>
        <w:spacing w:after="0" w:line="240" w:lineRule="auto"/>
        <w:contextualSpacing/>
        <w:jc w:val="center"/>
        <w:rPr>
          <w:rFonts w:ascii="Times New Roman" w:hAnsi="Times New Roman" w:cs="Times New Roman"/>
          <w:b/>
        </w:rPr>
      </w:pPr>
      <w:r w:rsidRPr="00D664B3">
        <w:rPr>
          <w:rFonts w:ascii="Times New Roman" w:hAnsi="Times New Roman" w:cs="Times New Roman"/>
          <w:b/>
        </w:rPr>
        <w:t>S</w:t>
      </w:r>
      <w:r>
        <w:rPr>
          <w:rFonts w:ascii="Times New Roman" w:hAnsi="Times New Roman" w:cs="Times New Roman"/>
          <w:b/>
        </w:rPr>
        <w:t>4</w:t>
      </w:r>
      <w:r w:rsidRPr="00D664B3">
        <w:rPr>
          <w:rFonts w:ascii="Times New Roman" w:hAnsi="Times New Roman" w:cs="Times New Roman"/>
          <w:b/>
        </w:rPr>
        <w:t xml:space="preserve"> Appendix: Preliminary analyses exploring sensitive periods of exposure</w:t>
      </w:r>
    </w:p>
    <w:p w14:paraId="390E60A4" w14:textId="77777777" w:rsidR="00364EF8" w:rsidRPr="00D664B3" w:rsidRDefault="00364EF8" w:rsidP="00364EF8">
      <w:pPr>
        <w:spacing w:after="0" w:line="240" w:lineRule="auto"/>
        <w:contextualSpacing/>
        <w:rPr>
          <w:rFonts w:ascii="Times New Roman" w:hAnsi="Times New Roman" w:cs="Times New Roman"/>
          <w:b/>
        </w:rPr>
      </w:pPr>
    </w:p>
    <w:p w14:paraId="779E33A4" w14:textId="77777777" w:rsidR="00364EF8" w:rsidRPr="00D664B3" w:rsidRDefault="00364EF8" w:rsidP="00364EF8">
      <w:pPr>
        <w:spacing w:after="0" w:line="240" w:lineRule="auto"/>
        <w:contextualSpacing/>
        <w:rPr>
          <w:rFonts w:ascii="Times New Roman" w:hAnsi="Times New Roman" w:cs="Times New Roman"/>
        </w:rPr>
      </w:pPr>
      <w:r w:rsidRPr="00D664B3">
        <w:rPr>
          <w:rFonts w:ascii="Times New Roman" w:hAnsi="Times New Roman" w:cs="Times New Roman"/>
        </w:rPr>
        <w:t>In order to evaluate whether there are sensitive periods of exposure during pregnancy, we assessed adjusted assoc</w:t>
      </w:r>
      <w:bookmarkStart w:id="0" w:name="_GoBack"/>
      <w:bookmarkEnd w:id="0"/>
      <w:r w:rsidRPr="00D664B3">
        <w:rPr>
          <w:rFonts w:ascii="Times New Roman" w:hAnsi="Times New Roman" w:cs="Times New Roman"/>
        </w:rPr>
        <w:t xml:space="preserve">iations with maternal POA filled prescriptions occurring in only the first-trimester (conception to 89 days after last menstrual period) and only the second- or third-trimester (90 days after last menstrual to birth). We conducted Wald </w:t>
      </w:r>
      <w:r w:rsidRPr="00D664B3">
        <w:rPr>
          <w:rFonts w:ascii="Times New Roman" w:hAnsi="Times New Roman" w:cs="Times New Roman"/>
          <w:color w:val="222222"/>
          <w:shd w:val="clear" w:color="auto" w:fill="FFFFFF"/>
        </w:rPr>
        <w:t xml:space="preserve">χ² tests to evaluate if these associations were statistically significantly different. </w:t>
      </w:r>
      <w:r w:rsidRPr="00D664B3">
        <w:rPr>
          <w:rFonts w:ascii="Times New Roman" w:hAnsi="Times New Roman" w:cs="Times New Roman"/>
        </w:rPr>
        <w:t xml:space="preserve">Because these analyses intended to evaluate exposure during specific periods, we included incident users (i.e., no filled POA prescriptions in the period 360 days before pregnancy to conception) and excluded infants exposed to more than one POA during pregnancy. </w:t>
      </w:r>
    </w:p>
    <w:p w14:paraId="0B300009" w14:textId="77777777" w:rsidR="00364EF8" w:rsidRPr="00D664B3" w:rsidRDefault="00364EF8" w:rsidP="00364EF8">
      <w:pPr>
        <w:spacing w:after="0" w:line="240" w:lineRule="auto"/>
        <w:contextualSpacing/>
        <w:rPr>
          <w:rFonts w:ascii="Times New Roman" w:hAnsi="Times New Roman" w:cs="Times New Roman"/>
        </w:rPr>
      </w:pPr>
    </w:p>
    <w:p w14:paraId="4B7E0AA6" w14:textId="77777777" w:rsidR="00364EF8" w:rsidRPr="00D664B3" w:rsidRDefault="00364EF8" w:rsidP="00364EF8">
      <w:pPr>
        <w:spacing w:after="0" w:line="240" w:lineRule="auto"/>
        <w:contextualSpacing/>
        <w:rPr>
          <w:rFonts w:ascii="Times New Roman" w:hAnsi="Times New Roman" w:cs="Times New Roman"/>
        </w:rPr>
      </w:pPr>
      <w:r w:rsidRPr="00D664B3">
        <w:rPr>
          <w:rFonts w:ascii="Times New Roman" w:hAnsi="Times New Roman" w:cs="Times New Roman"/>
        </w:rPr>
        <w:t>In this sample of 583,686 infants born to incident users, 2,960 (0.51%) were born to women who filled a prescription only in the first</w:t>
      </w:r>
      <w:r>
        <w:rPr>
          <w:rFonts w:ascii="Times New Roman" w:hAnsi="Times New Roman" w:cs="Times New Roman"/>
        </w:rPr>
        <w:t xml:space="preserve"> </w:t>
      </w:r>
      <w:r w:rsidRPr="00D664B3">
        <w:rPr>
          <w:rFonts w:ascii="Times New Roman" w:hAnsi="Times New Roman" w:cs="Times New Roman"/>
        </w:rPr>
        <w:t>trimester and 13,909</w:t>
      </w:r>
      <w:r w:rsidRPr="00D664B3" w:rsidDel="002F0085">
        <w:rPr>
          <w:rFonts w:ascii="Times New Roman" w:hAnsi="Times New Roman" w:cs="Times New Roman"/>
        </w:rPr>
        <w:t xml:space="preserve"> </w:t>
      </w:r>
      <w:r w:rsidRPr="00D664B3">
        <w:rPr>
          <w:rFonts w:ascii="Times New Roman" w:hAnsi="Times New Roman" w:cs="Times New Roman"/>
        </w:rPr>
        <w:t>(2.38%) were born to women who filled a prescription only in the second or third</w:t>
      </w:r>
      <w:r>
        <w:rPr>
          <w:rFonts w:ascii="Times New Roman" w:hAnsi="Times New Roman" w:cs="Times New Roman"/>
        </w:rPr>
        <w:t xml:space="preserve"> </w:t>
      </w:r>
      <w:r w:rsidRPr="00D664B3">
        <w:rPr>
          <w:rFonts w:ascii="Times New Roman" w:hAnsi="Times New Roman" w:cs="Times New Roman"/>
        </w:rPr>
        <w:t>trimester. The magnitude of the associations with first-trimester exposure only were slightly larger than the magnitude of associations with second/third-trimester exposure (Table</w:t>
      </w:r>
      <w:r>
        <w:rPr>
          <w:rFonts w:ascii="Times New Roman" w:hAnsi="Times New Roman" w:cs="Times New Roman"/>
        </w:rPr>
        <w:t xml:space="preserve"> A</w:t>
      </w:r>
      <w:r w:rsidRPr="00D664B3">
        <w:rPr>
          <w:rFonts w:ascii="Times New Roman" w:hAnsi="Times New Roman" w:cs="Times New Roman"/>
        </w:rPr>
        <w:t>); however, the associations were not statistically significantly different for both PTB (</w:t>
      </w:r>
      <w:r w:rsidRPr="00525D28">
        <w:rPr>
          <w:rFonts w:ascii="Times New Roman" w:hAnsi="Times New Roman" w:cs="Times New Roman"/>
          <w:i/>
        </w:rPr>
        <w:t>p</w:t>
      </w:r>
      <w:r w:rsidRPr="00D664B3">
        <w:rPr>
          <w:rFonts w:ascii="Times New Roman" w:hAnsi="Times New Roman" w:cs="Times New Roman"/>
        </w:rPr>
        <w:t>=0.25) and SGA (</w:t>
      </w:r>
      <w:r w:rsidRPr="00525D28">
        <w:rPr>
          <w:rFonts w:ascii="Times New Roman" w:hAnsi="Times New Roman" w:cs="Times New Roman"/>
          <w:i/>
        </w:rPr>
        <w:t>p</w:t>
      </w:r>
      <w:r w:rsidRPr="00D664B3">
        <w:rPr>
          <w:rFonts w:ascii="Times New Roman" w:hAnsi="Times New Roman" w:cs="Times New Roman"/>
        </w:rPr>
        <w:t xml:space="preserve">=0.54). Therefore, these results suggest that there may not be sensitive periods of exposure during pregnancy. </w:t>
      </w:r>
    </w:p>
    <w:p w14:paraId="3D6B50AE" w14:textId="77777777" w:rsidR="00364EF8" w:rsidRPr="00D664B3" w:rsidRDefault="00364EF8" w:rsidP="00364EF8">
      <w:pPr>
        <w:spacing w:after="0" w:line="240" w:lineRule="auto"/>
        <w:contextualSpacing/>
        <w:rPr>
          <w:rFonts w:ascii="Times New Roman" w:hAnsi="Times New Roman" w:cs="Times New Roman"/>
        </w:rPr>
      </w:pPr>
      <w:r w:rsidRPr="00D664B3">
        <w:rPr>
          <w:rFonts w:ascii="Times New Roman" w:hAnsi="Times New Roman" w:cs="Times New Roman"/>
        </w:rPr>
        <w:br w:type="page"/>
      </w:r>
    </w:p>
    <w:p w14:paraId="5902FCE6" w14:textId="77777777" w:rsidR="00364EF8" w:rsidRPr="00D664B3" w:rsidRDefault="00364EF8" w:rsidP="00364EF8">
      <w:pPr>
        <w:spacing w:after="0" w:line="240" w:lineRule="auto"/>
        <w:contextualSpacing/>
        <w:rPr>
          <w:rFonts w:ascii="Times New Roman" w:hAnsi="Times New Roman" w:cs="Times New Roman"/>
        </w:rPr>
      </w:pPr>
      <w:r w:rsidRPr="00D664B3">
        <w:rPr>
          <w:rFonts w:ascii="Times New Roman" w:hAnsi="Times New Roman" w:cs="Times New Roman"/>
        </w:rPr>
        <w:lastRenderedPageBreak/>
        <w:t>Table</w:t>
      </w:r>
      <w:r>
        <w:rPr>
          <w:rFonts w:ascii="Times New Roman" w:hAnsi="Times New Roman" w:cs="Times New Roman"/>
        </w:rPr>
        <w:t xml:space="preserve"> A</w:t>
      </w:r>
      <w:r w:rsidRPr="00D664B3">
        <w:rPr>
          <w:rFonts w:ascii="Times New Roman" w:hAnsi="Times New Roman" w:cs="Times New Roman"/>
        </w:rPr>
        <w:t xml:space="preserve">. </w:t>
      </w:r>
      <w:bookmarkStart w:id="1" w:name="_Hlk22728799"/>
      <w:r w:rsidRPr="00D664B3">
        <w:rPr>
          <w:rFonts w:ascii="Times New Roman" w:hAnsi="Times New Roman" w:cs="Times New Roman"/>
        </w:rPr>
        <w:t xml:space="preserve">Adjusted associations with exposure in the first trimester only and in the second/third trimester only in a subsample of incident users </w:t>
      </w:r>
      <w:bookmarkEnd w:id="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22"/>
        <w:gridCol w:w="222"/>
        <w:gridCol w:w="1958"/>
        <w:gridCol w:w="2367"/>
      </w:tblGrid>
      <w:tr w:rsidR="00364EF8" w:rsidRPr="00D664B3" w14:paraId="284FCE35" w14:textId="77777777" w:rsidTr="006230CD">
        <w:tc>
          <w:tcPr>
            <w:tcW w:w="0" w:type="auto"/>
            <w:tcBorders>
              <w:bottom w:val="single" w:sz="4" w:space="0" w:color="auto"/>
            </w:tcBorders>
          </w:tcPr>
          <w:p w14:paraId="62ACEDA7" w14:textId="77777777" w:rsidR="00364EF8" w:rsidRPr="00D664B3" w:rsidRDefault="00364EF8" w:rsidP="006230CD">
            <w:pPr>
              <w:spacing w:after="0" w:line="240" w:lineRule="auto"/>
              <w:contextualSpacing/>
              <w:rPr>
                <w:rFonts w:ascii="Times New Roman" w:hAnsi="Times New Roman" w:cs="Times New Roman"/>
              </w:rPr>
            </w:pPr>
          </w:p>
        </w:tc>
        <w:tc>
          <w:tcPr>
            <w:tcW w:w="0" w:type="auto"/>
            <w:tcBorders>
              <w:bottom w:val="single" w:sz="4" w:space="0" w:color="auto"/>
            </w:tcBorders>
          </w:tcPr>
          <w:p w14:paraId="1F26014D" w14:textId="77777777" w:rsidR="00364EF8" w:rsidRPr="00D664B3" w:rsidRDefault="00364EF8" w:rsidP="006230CD">
            <w:pPr>
              <w:spacing w:after="0" w:line="240" w:lineRule="auto"/>
              <w:contextualSpacing/>
              <w:jc w:val="center"/>
              <w:rPr>
                <w:rFonts w:ascii="Times New Roman" w:hAnsi="Times New Roman" w:cs="Times New Roman"/>
                <w:b/>
              </w:rPr>
            </w:pPr>
          </w:p>
        </w:tc>
        <w:tc>
          <w:tcPr>
            <w:tcW w:w="0" w:type="auto"/>
            <w:tcBorders>
              <w:bottom w:val="single" w:sz="4" w:space="0" w:color="auto"/>
            </w:tcBorders>
          </w:tcPr>
          <w:p w14:paraId="100CB474" w14:textId="77777777" w:rsidR="00364EF8" w:rsidRPr="00D664B3" w:rsidRDefault="00364EF8" w:rsidP="006230CD">
            <w:pPr>
              <w:spacing w:after="0" w:line="240" w:lineRule="auto"/>
              <w:contextualSpacing/>
              <w:jc w:val="center"/>
              <w:rPr>
                <w:rFonts w:ascii="Times New Roman" w:hAnsi="Times New Roman" w:cs="Times New Roman"/>
                <w:b/>
              </w:rPr>
            </w:pPr>
          </w:p>
        </w:tc>
        <w:tc>
          <w:tcPr>
            <w:tcW w:w="0" w:type="auto"/>
            <w:tcBorders>
              <w:bottom w:val="single" w:sz="4" w:space="0" w:color="auto"/>
            </w:tcBorders>
          </w:tcPr>
          <w:p w14:paraId="52737293" w14:textId="77777777" w:rsidR="00364EF8" w:rsidRPr="00D664B3" w:rsidRDefault="00364EF8" w:rsidP="006230CD">
            <w:pPr>
              <w:spacing w:after="0" w:line="240" w:lineRule="auto"/>
              <w:contextualSpacing/>
              <w:jc w:val="center"/>
              <w:rPr>
                <w:rFonts w:ascii="Times New Roman" w:hAnsi="Times New Roman" w:cs="Times New Roman"/>
                <w:b/>
              </w:rPr>
            </w:pPr>
            <w:r w:rsidRPr="00D664B3">
              <w:rPr>
                <w:rFonts w:ascii="Times New Roman" w:hAnsi="Times New Roman" w:cs="Times New Roman"/>
                <w:b/>
              </w:rPr>
              <w:t>1</w:t>
            </w:r>
            <w:r w:rsidRPr="00D664B3">
              <w:rPr>
                <w:rFonts w:ascii="Times New Roman" w:hAnsi="Times New Roman" w:cs="Times New Roman"/>
                <w:b/>
                <w:vertAlign w:val="superscript"/>
              </w:rPr>
              <w:t>st</w:t>
            </w:r>
            <w:r w:rsidRPr="00D664B3">
              <w:rPr>
                <w:rFonts w:ascii="Times New Roman" w:hAnsi="Times New Roman" w:cs="Times New Roman"/>
                <w:b/>
              </w:rPr>
              <w:t xml:space="preserve"> trimester only</w:t>
            </w:r>
          </w:p>
        </w:tc>
        <w:tc>
          <w:tcPr>
            <w:tcW w:w="0" w:type="auto"/>
            <w:tcBorders>
              <w:bottom w:val="single" w:sz="4" w:space="0" w:color="auto"/>
            </w:tcBorders>
          </w:tcPr>
          <w:p w14:paraId="31FF403A" w14:textId="77777777" w:rsidR="00364EF8" w:rsidRPr="00D664B3" w:rsidRDefault="00364EF8" w:rsidP="006230CD">
            <w:pPr>
              <w:spacing w:after="0" w:line="240" w:lineRule="auto"/>
              <w:contextualSpacing/>
              <w:jc w:val="center"/>
              <w:rPr>
                <w:rFonts w:ascii="Times New Roman" w:hAnsi="Times New Roman" w:cs="Times New Roman"/>
                <w:b/>
              </w:rPr>
            </w:pPr>
            <w:r w:rsidRPr="00D664B3">
              <w:rPr>
                <w:rFonts w:ascii="Times New Roman" w:hAnsi="Times New Roman" w:cs="Times New Roman"/>
                <w:b/>
              </w:rPr>
              <w:t>2</w:t>
            </w:r>
            <w:r w:rsidRPr="00D664B3">
              <w:rPr>
                <w:rFonts w:ascii="Times New Roman" w:hAnsi="Times New Roman" w:cs="Times New Roman"/>
                <w:b/>
                <w:vertAlign w:val="superscript"/>
              </w:rPr>
              <w:t>nd</w:t>
            </w:r>
            <w:r w:rsidRPr="00D664B3">
              <w:rPr>
                <w:rFonts w:ascii="Times New Roman" w:hAnsi="Times New Roman" w:cs="Times New Roman"/>
                <w:b/>
              </w:rPr>
              <w:t>/3</w:t>
            </w:r>
            <w:r w:rsidRPr="00D664B3">
              <w:rPr>
                <w:rFonts w:ascii="Times New Roman" w:hAnsi="Times New Roman" w:cs="Times New Roman"/>
                <w:b/>
                <w:vertAlign w:val="superscript"/>
              </w:rPr>
              <w:t>rd</w:t>
            </w:r>
            <w:r w:rsidRPr="00D664B3">
              <w:rPr>
                <w:rFonts w:ascii="Times New Roman" w:hAnsi="Times New Roman" w:cs="Times New Roman"/>
                <w:b/>
              </w:rPr>
              <w:t xml:space="preserve"> trimester only</w:t>
            </w:r>
          </w:p>
        </w:tc>
      </w:tr>
      <w:tr w:rsidR="00364EF8" w:rsidRPr="00D664B3" w14:paraId="2F192FF2" w14:textId="77777777" w:rsidTr="006230CD">
        <w:tc>
          <w:tcPr>
            <w:tcW w:w="0" w:type="auto"/>
            <w:tcBorders>
              <w:top w:val="single" w:sz="4" w:space="0" w:color="auto"/>
              <w:bottom w:val="single" w:sz="4" w:space="0" w:color="auto"/>
            </w:tcBorders>
          </w:tcPr>
          <w:p w14:paraId="18A698A1" w14:textId="77777777" w:rsidR="00364EF8" w:rsidRPr="00D664B3" w:rsidRDefault="00364EF8" w:rsidP="006230CD">
            <w:pPr>
              <w:spacing w:after="0" w:line="240" w:lineRule="auto"/>
              <w:contextualSpacing/>
              <w:rPr>
                <w:rFonts w:ascii="Times New Roman" w:hAnsi="Times New Roman" w:cs="Times New Roman"/>
              </w:rPr>
            </w:pPr>
          </w:p>
        </w:tc>
        <w:tc>
          <w:tcPr>
            <w:tcW w:w="0" w:type="auto"/>
            <w:tcBorders>
              <w:top w:val="single" w:sz="4" w:space="0" w:color="auto"/>
              <w:bottom w:val="single" w:sz="4" w:space="0" w:color="auto"/>
            </w:tcBorders>
          </w:tcPr>
          <w:p w14:paraId="4A3A1601" w14:textId="77777777" w:rsidR="00364EF8" w:rsidRPr="00D664B3" w:rsidRDefault="00364EF8" w:rsidP="006230CD">
            <w:pPr>
              <w:spacing w:after="0" w:line="240" w:lineRule="auto"/>
              <w:contextualSpacing/>
              <w:jc w:val="center"/>
              <w:rPr>
                <w:rFonts w:ascii="Times New Roman" w:hAnsi="Times New Roman" w:cs="Times New Roman"/>
                <w:b/>
              </w:rPr>
            </w:pPr>
          </w:p>
        </w:tc>
        <w:tc>
          <w:tcPr>
            <w:tcW w:w="0" w:type="auto"/>
            <w:tcBorders>
              <w:top w:val="single" w:sz="4" w:space="0" w:color="auto"/>
              <w:bottom w:val="single" w:sz="4" w:space="0" w:color="auto"/>
            </w:tcBorders>
          </w:tcPr>
          <w:p w14:paraId="316B0313" w14:textId="77777777" w:rsidR="00364EF8" w:rsidRPr="00D664B3" w:rsidRDefault="00364EF8" w:rsidP="006230CD">
            <w:pPr>
              <w:spacing w:after="0" w:line="240" w:lineRule="auto"/>
              <w:contextualSpacing/>
              <w:jc w:val="center"/>
              <w:rPr>
                <w:rFonts w:ascii="Times New Roman" w:hAnsi="Times New Roman" w:cs="Times New Roman"/>
                <w:b/>
              </w:rPr>
            </w:pPr>
          </w:p>
        </w:tc>
        <w:tc>
          <w:tcPr>
            <w:tcW w:w="0" w:type="auto"/>
            <w:tcBorders>
              <w:top w:val="single" w:sz="4" w:space="0" w:color="auto"/>
              <w:bottom w:val="single" w:sz="4" w:space="0" w:color="auto"/>
            </w:tcBorders>
          </w:tcPr>
          <w:p w14:paraId="7161BA27" w14:textId="77777777" w:rsidR="00364EF8" w:rsidRPr="00D664B3" w:rsidRDefault="00364EF8" w:rsidP="006230CD">
            <w:pPr>
              <w:spacing w:after="0" w:line="240" w:lineRule="auto"/>
              <w:contextualSpacing/>
              <w:jc w:val="center"/>
              <w:rPr>
                <w:rFonts w:ascii="Times New Roman" w:hAnsi="Times New Roman" w:cs="Times New Roman"/>
                <w:b/>
              </w:rPr>
            </w:pPr>
            <w:r w:rsidRPr="00D664B3">
              <w:rPr>
                <w:rFonts w:ascii="Times New Roman" w:hAnsi="Times New Roman" w:cs="Times New Roman"/>
                <w:b/>
              </w:rPr>
              <w:t>OR (95% CI)</w:t>
            </w:r>
          </w:p>
        </w:tc>
        <w:tc>
          <w:tcPr>
            <w:tcW w:w="0" w:type="auto"/>
            <w:tcBorders>
              <w:top w:val="single" w:sz="4" w:space="0" w:color="auto"/>
              <w:bottom w:val="single" w:sz="4" w:space="0" w:color="auto"/>
            </w:tcBorders>
          </w:tcPr>
          <w:p w14:paraId="4D2F6A98" w14:textId="77777777" w:rsidR="00364EF8" w:rsidRPr="00D664B3" w:rsidRDefault="00364EF8" w:rsidP="006230CD">
            <w:pPr>
              <w:spacing w:after="0" w:line="240" w:lineRule="auto"/>
              <w:contextualSpacing/>
              <w:jc w:val="center"/>
              <w:rPr>
                <w:rFonts w:ascii="Times New Roman" w:hAnsi="Times New Roman" w:cs="Times New Roman"/>
                <w:b/>
              </w:rPr>
            </w:pPr>
            <w:r w:rsidRPr="00D664B3">
              <w:rPr>
                <w:rFonts w:ascii="Times New Roman" w:hAnsi="Times New Roman" w:cs="Times New Roman"/>
                <w:b/>
              </w:rPr>
              <w:t>OR (95% CI)</w:t>
            </w:r>
          </w:p>
        </w:tc>
      </w:tr>
      <w:tr w:rsidR="00364EF8" w:rsidRPr="00D664B3" w14:paraId="11CC0F8F" w14:textId="77777777" w:rsidTr="006230CD">
        <w:tc>
          <w:tcPr>
            <w:tcW w:w="0" w:type="auto"/>
            <w:tcBorders>
              <w:top w:val="single" w:sz="4" w:space="0" w:color="auto"/>
              <w:bottom w:val="nil"/>
            </w:tcBorders>
          </w:tcPr>
          <w:p w14:paraId="745131E0" w14:textId="77777777" w:rsidR="00364EF8" w:rsidRPr="00D664B3" w:rsidRDefault="00364EF8" w:rsidP="006230CD">
            <w:pPr>
              <w:spacing w:after="0" w:line="240" w:lineRule="auto"/>
              <w:contextualSpacing/>
              <w:rPr>
                <w:rFonts w:ascii="Times New Roman" w:hAnsi="Times New Roman" w:cs="Times New Roman"/>
              </w:rPr>
            </w:pPr>
            <w:r w:rsidRPr="00D664B3">
              <w:rPr>
                <w:rFonts w:ascii="Times New Roman" w:hAnsi="Times New Roman" w:cs="Times New Roman"/>
              </w:rPr>
              <w:t>Preterm birth</w:t>
            </w:r>
          </w:p>
        </w:tc>
        <w:tc>
          <w:tcPr>
            <w:tcW w:w="0" w:type="auto"/>
            <w:tcBorders>
              <w:top w:val="single" w:sz="4" w:space="0" w:color="auto"/>
              <w:bottom w:val="nil"/>
            </w:tcBorders>
          </w:tcPr>
          <w:p w14:paraId="69F34BD8" w14:textId="77777777" w:rsidR="00364EF8" w:rsidRPr="00D664B3" w:rsidRDefault="00364EF8" w:rsidP="006230CD">
            <w:pPr>
              <w:spacing w:after="0" w:line="240" w:lineRule="auto"/>
              <w:contextualSpacing/>
              <w:jc w:val="center"/>
              <w:rPr>
                <w:rFonts w:ascii="Times New Roman" w:hAnsi="Times New Roman" w:cs="Times New Roman"/>
              </w:rPr>
            </w:pPr>
          </w:p>
        </w:tc>
        <w:tc>
          <w:tcPr>
            <w:tcW w:w="0" w:type="auto"/>
            <w:tcBorders>
              <w:top w:val="single" w:sz="4" w:space="0" w:color="auto"/>
              <w:bottom w:val="nil"/>
            </w:tcBorders>
          </w:tcPr>
          <w:p w14:paraId="35B185D8" w14:textId="77777777" w:rsidR="00364EF8" w:rsidRPr="00D664B3" w:rsidRDefault="00364EF8" w:rsidP="006230CD">
            <w:pPr>
              <w:spacing w:after="0" w:line="240" w:lineRule="auto"/>
              <w:contextualSpacing/>
              <w:jc w:val="center"/>
              <w:rPr>
                <w:rFonts w:ascii="Times New Roman" w:hAnsi="Times New Roman" w:cs="Times New Roman"/>
              </w:rPr>
            </w:pPr>
          </w:p>
        </w:tc>
        <w:tc>
          <w:tcPr>
            <w:tcW w:w="0" w:type="auto"/>
            <w:tcBorders>
              <w:top w:val="single" w:sz="4" w:space="0" w:color="auto"/>
              <w:bottom w:val="nil"/>
            </w:tcBorders>
          </w:tcPr>
          <w:p w14:paraId="76688A47" w14:textId="77777777" w:rsidR="00364EF8" w:rsidRPr="00D664B3" w:rsidRDefault="00364EF8" w:rsidP="006230CD">
            <w:pPr>
              <w:spacing w:after="0" w:line="240" w:lineRule="auto"/>
              <w:contextualSpacing/>
              <w:jc w:val="center"/>
              <w:rPr>
                <w:rFonts w:ascii="Times New Roman" w:hAnsi="Times New Roman" w:cs="Times New Roman"/>
              </w:rPr>
            </w:pPr>
            <w:r w:rsidRPr="00D664B3">
              <w:rPr>
                <w:rFonts w:ascii="Times New Roman" w:hAnsi="Times New Roman" w:cs="Times New Roman"/>
              </w:rPr>
              <w:t>1.32 (1.13, 1.53)</w:t>
            </w:r>
          </w:p>
        </w:tc>
        <w:tc>
          <w:tcPr>
            <w:tcW w:w="0" w:type="auto"/>
            <w:tcBorders>
              <w:top w:val="single" w:sz="4" w:space="0" w:color="auto"/>
              <w:bottom w:val="nil"/>
            </w:tcBorders>
          </w:tcPr>
          <w:p w14:paraId="238DCBB1" w14:textId="77777777" w:rsidR="00364EF8" w:rsidRPr="00D664B3" w:rsidRDefault="00364EF8" w:rsidP="006230CD">
            <w:pPr>
              <w:spacing w:after="0" w:line="240" w:lineRule="auto"/>
              <w:contextualSpacing/>
              <w:jc w:val="center"/>
              <w:rPr>
                <w:rFonts w:ascii="Times New Roman" w:hAnsi="Times New Roman" w:cs="Times New Roman"/>
              </w:rPr>
            </w:pPr>
            <w:r w:rsidRPr="00D664B3">
              <w:rPr>
                <w:rFonts w:ascii="Times New Roman" w:hAnsi="Times New Roman" w:cs="Times New Roman"/>
              </w:rPr>
              <w:t>1.19 (1.10, 1.28)</w:t>
            </w:r>
          </w:p>
        </w:tc>
      </w:tr>
      <w:tr w:rsidR="00364EF8" w:rsidRPr="00D664B3" w14:paraId="1EE732A3" w14:textId="77777777" w:rsidTr="006230CD">
        <w:tc>
          <w:tcPr>
            <w:tcW w:w="0" w:type="auto"/>
            <w:tcBorders>
              <w:top w:val="nil"/>
              <w:bottom w:val="single" w:sz="4" w:space="0" w:color="auto"/>
            </w:tcBorders>
          </w:tcPr>
          <w:p w14:paraId="5C7D94A6" w14:textId="77777777" w:rsidR="00364EF8" w:rsidRPr="00D664B3" w:rsidRDefault="00364EF8" w:rsidP="006230CD">
            <w:pPr>
              <w:spacing w:after="0" w:line="240" w:lineRule="auto"/>
              <w:contextualSpacing/>
              <w:rPr>
                <w:rFonts w:ascii="Times New Roman" w:hAnsi="Times New Roman" w:cs="Times New Roman"/>
              </w:rPr>
            </w:pPr>
            <w:r w:rsidRPr="00D664B3">
              <w:rPr>
                <w:rFonts w:ascii="Times New Roman" w:hAnsi="Times New Roman" w:cs="Times New Roman"/>
              </w:rPr>
              <w:t>Small for gestation age</w:t>
            </w:r>
          </w:p>
        </w:tc>
        <w:tc>
          <w:tcPr>
            <w:tcW w:w="0" w:type="auto"/>
            <w:tcBorders>
              <w:top w:val="nil"/>
              <w:bottom w:val="single" w:sz="4" w:space="0" w:color="auto"/>
            </w:tcBorders>
          </w:tcPr>
          <w:p w14:paraId="58BC8AE1" w14:textId="77777777" w:rsidR="00364EF8" w:rsidRPr="00D664B3" w:rsidRDefault="00364EF8" w:rsidP="006230CD">
            <w:pPr>
              <w:spacing w:after="0" w:line="240" w:lineRule="auto"/>
              <w:contextualSpacing/>
              <w:jc w:val="center"/>
              <w:rPr>
                <w:rFonts w:ascii="Times New Roman" w:hAnsi="Times New Roman" w:cs="Times New Roman"/>
              </w:rPr>
            </w:pPr>
          </w:p>
        </w:tc>
        <w:tc>
          <w:tcPr>
            <w:tcW w:w="0" w:type="auto"/>
            <w:tcBorders>
              <w:top w:val="nil"/>
              <w:bottom w:val="single" w:sz="4" w:space="0" w:color="auto"/>
            </w:tcBorders>
          </w:tcPr>
          <w:p w14:paraId="5428CD20" w14:textId="77777777" w:rsidR="00364EF8" w:rsidRPr="00D664B3" w:rsidRDefault="00364EF8" w:rsidP="006230CD">
            <w:pPr>
              <w:spacing w:after="0" w:line="240" w:lineRule="auto"/>
              <w:contextualSpacing/>
              <w:jc w:val="center"/>
              <w:rPr>
                <w:rFonts w:ascii="Times New Roman" w:hAnsi="Times New Roman" w:cs="Times New Roman"/>
              </w:rPr>
            </w:pPr>
          </w:p>
        </w:tc>
        <w:tc>
          <w:tcPr>
            <w:tcW w:w="0" w:type="auto"/>
            <w:tcBorders>
              <w:top w:val="nil"/>
              <w:bottom w:val="single" w:sz="4" w:space="0" w:color="auto"/>
            </w:tcBorders>
          </w:tcPr>
          <w:p w14:paraId="3C523A57" w14:textId="77777777" w:rsidR="00364EF8" w:rsidRPr="00D664B3" w:rsidRDefault="00364EF8" w:rsidP="006230CD">
            <w:pPr>
              <w:spacing w:after="0" w:line="240" w:lineRule="auto"/>
              <w:contextualSpacing/>
              <w:jc w:val="center"/>
              <w:rPr>
                <w:rFonts w:ascii="Times New Roman" w:hAnsi="Times New Roman" w:cs="Times New Roman"/>
              </w:rPr>
            </w:pPr>
            <w:r w:rsidRPr="00D664B3">
              <w:rPr>
                <w:rFonts w:ascii="Times New Roman" w:hAnsi="Times New Roman" w:cs="Times New Roman"/>
              </w:rPr>
              <w:t>1.00 (0.78, 1.23)</w:t>
            </w:r>
          </w:p>
        </w:tc>
        <w:tc>
          <w:tcPr>
            <w:tcW w:w="0" w:type="auto"/>
            <w:tcBorders>
              <w:top w:val="nil"/>
              <w:bottom w:val="single" w:sz="4" w:space="0" w:color="auto"/>
            </w:tcBorders>
          </w:tcPr>
          <w:p w14:paraId="3994DCCB" w14:textId="77777777" w:rsidR="00364EF8" w:rsidRPr="00D664B3" w:rsidRDefault="00364EF8" w:rsidP="006230CD">
            <w:pPr>
              <w:spacing w:after="0" w:line="240" w:lineRule="auto"/>
              <w:contextualSpacing/>
              <w:jc w:val="center"/>
              <w:rPr>
                <w:rFonts w:ascii="Times New Roman" w:hAnsi="Times New Roman" w:cs="Times New Roman"/>
              </w:rPr>
            </w:pPr>
            <w:r w:rsidRPr="00D664B3">
              <w:rPr>
                <w:rFonts w:ascii="Times New Roman" w:hAnsi="Times New Roman" w:cs="Times New Roman"/>
              </w:rPr>
              <w:t>0.91 (0.81, 1.03)</w:t>
            </w:r>
          </w:p>
        </w:tc>
      </w:tr>
    </w:tbl>
    <w:p w14:paraId="268E575B" w14:textId="77777777" w:rsidR="00364EF8" w:rsidRPr="00D664B3" w:rsidRDefault="00364EF8" w:rsidP="00364EF8">
      <w:pPr>
        <w:keepNext/>
        <w:keepLines/>
        <w:spacing w:before="200" w:after="0" w:line="240" w:lineRule="auto"/>
        <w:contextualSpacing/>
        <w:outlineLvl w:val="6"/>
        <w:rPr>
          <w:rFonts w:ascii="Times New Roman" w:hAnsi="Times New Roman" w:cs="Times New Roman"/>
        </w:rPr>
      </w:pPr>
      <w:bookmarkStart w:id="2" w:name="_Hlk22728973"/>
      <w:r w:rsidRPr="00D664B3">
        <w:rPr>
          <w:rFonts w:ascii="Times New Roman" w:hAnsi="Times New Roman" w:cs="Times New Roman"/>
        </w:rPr>
        <w:t>Note. OR=odds ratio. CI=confidence interval</w:t>
      </w:r>
      <w:r>
        <w:rPr>
          <w:rFonts w:ascii="Times New Roman" w:hAnsi="Times New Roman" w:cs="Times New Roman"/>
        </w:rPr>
        <w:t>.</w:t>
      </w:r>
      <w:r w:rsidRPr="00D664B3">
        <w:rPr>
          <w:rFonts w:ascii="Times New Roman" w:hAnsi="Times New Roman" w:cs="Times New Roman"/>
        </w:rPr>
        <w:t xml:space="preserve"> </w:t>
      </w:r>
    </w:p>
    <w:bookmarkEnd w:id="2"/>
    <w:p w14:paraId="50CFE2E5" w14:textId="77777777" w:rsidR="00207940" w:rsidRDefault="00207940"/>
    <w:sectPr w:rsidR="002079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45B5" w14:textId="77777777" w:rsidR="000E2910" w:rsidRDefault="000E2910" w:rsidP="00364EF8">
      <w:pPr>
        <w:spacing w:after="0" w:line="240" w:lineRule="auto"/>
      </w:pPr>
      <w:r>
        <w:separator/>
      </w:r>
    </w:p>
  </w:endnote>
  <w:endnote w:type="continuationSeparator" w:id="0">
    <w:p w14:paraId="7DB42FB6" w14:textId="77777777" w:rsidR="000E2910" w:rsidRDefault="000E2910" w:rsidP="0036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47D8" w14:textId="77777777" w:rsidR="000E2910" w:rsidRDefault="000E2910" w:rsidP="00364EF8">
      <w:pPr>
        <w:spacing w:after="0" w:line="240" w:lineRule="auto"/>
      </w:pPr>
      <w:r>
        <w:separator/>
      </w:r>
    </w:p>
  </w:footnote>
  <w:footnote w:type="continuationSeparator" w:id="0">
    <w:p w14:paraId="0B787CFD" w14:textId="77777777" w:rsidR="000E2910" w:rsidRDefault="000E2910" w:rsidP="00364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4A51" w14:textId="6B44CEF6" w:rsidR="00364EF8" w:rsidRDefault="00364EF8" w:rsidP="00364EF8">
    <w:pPr>
      <w:pStyle w:val="Header"/>
      <w:jc w:val="right"/>
    </w:pPr>
    <w:bookmarkStart w:id="3" w:name="_Hlk22917850"/>
    <w:r>
      <w:rPr>
        <w:rFonts w:ascii="Times New Roman" w:hAnsi="Times New Roman" w:cs="Times New Roman"/>
      </w:rPr>
      <w:t>Prescribed opioid analgesic use during pregnancy and adverse birth outcomes</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F8"/>
    <w:rsid w:val="000E2910"/>
    <w:rsid w:val="00207940"/>
    <w:rsid w:val="0036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251A"/>
  <w15:chartTrackingRefBased/>
  <w15:docId w15:val="{4695697F-28A7-4C33-B608-62898642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E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E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F8"/>
    <w:rPr>
      <w:rFonts w:eastAsiaTheme="minorEastAsia"/>
    </w:rPr>
  </w:style>
  <w:style w:type="paragraph" w:styleId="Footer">
    <w:name w:val="footer"/>
    <w:basedOn w:val="Normal"/>
    <w:link w:val="FooterChar"/>
    <w:uiPriority w:val="99"/>
    <w:unhideWhenUsed/>
    <w:rsid w:val="00364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Company>Indiana University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Sujan, Ayesha Chatterji</dc:creator>
  <cp:keywords/>
  <dc:description/>
  <cp:lastModifiedBy>Sujan, Ayesha Chatterji</cp:lastModifiedBy>
  <cp:revision>1</cp:revision>
  <dcterms:created xsi:type="dcterms:W3CDTF">2019-10-25T21:47:00Z</dcterms:created>
  <dcterms:modified xsi:type="dcterms:W3CDTF">2019-10-25T21:48:00Z</dcterms:modified>
</cp:coreProperties>
</file>