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186A" w14:textId="2DECE0D2" w:rsidR="00DD27CC" w:rsidRPr="006335CA" w:rsidRDefault="00DD27CC" w:rsidP="00DD27CC">
      <w:pPr>
        <w:pStyle w:val="ms"/>
        <w:rPr>
          <w:rFonts w:ascii="Arial" w:hAnsi="Arial" w:cs="Arial"/>
          <w:b/>
        </w:rPr>
      </w:pPr>
      <w:bookmarkStart w:id="0" w:name="_Hlk22041095"/>
      <w:r w:rsidRPr="006335CA">
        <w:rPr>
          <w:rFonts w:ascii="Arial" w:hAnsi="Arial" w:cs="Arial"/>
          <w:b/>
        </w:rPr>
        <w:t xml:space="preserve">Poisson regression analyses showing incident rate ratios for ACM, DRP and non-DRP according to co-prescribed medications </w:t>
      </w:r>
    </w:p>
    <w:bookmarkEnd w:id="0"/>
    <w:tbl>
      <w:tblPr>
        <w:tblW w:w="7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5"/>
        <w:gridCol w:w="1871"/>
        <w:gridCol w:w="974"/>
        <w:gridCol w:w="1871"/>
        <w:gridCol w:w="964"/>
      </w:tblGrid>
      <w:tr w:rsidR="00DD27CC" w:rsidRPr="006335CA" w14:paraId="3F929B2F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7AF1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40A0" w14:textId="77777777" w:rsidR="00DD27CC" w:rsidRPr="006335CA" w:rsidRDefault="00DD27CC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Unadjusted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C40222" w14:textId="77777777" w:rsidR="00DD27CC" w:rsidRPr="006335CA" w:rsidRDefault="00DD27CC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Adjusted*</w:t>
            </w:r>
          </w:p>
        </w:tc>
      </w:tr>
      <w:tr w:rsidR="00DD27CC" w:rsidRPr="006335CA" w14:paraId="71BAA61D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2D4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Exposure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72B" w14:textId="77777777" w:rsidR="00DD27CC" w:rsidRPr="006335CA" w:rsidRDefault="00DD27CC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IRR (95% CI)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2AD" w14:textId="77777777" w:rsidR="00DD27CC" w:rsidRPr="006335CA" w:rsidRDefault="00DD27CC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6160AE" w14:textId="77777777" w:rsidR="00DD27CC" w:rsidRPr="006335CA" w:rsidRDefault="00DD27CC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IRR (95% CI)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C6DA8A" w14:textId="77777777" w:rsidR="00DD27CC" w:rsidRPr="006335CA" w:rsidRDefault="00DD27CC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DD27CC" w:rsidRPr="006335CA" w14:paraId="26AF4FDF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9967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All cause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0C96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3F99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00CB17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0A98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27CC" w:rsidRPr="006335CA" w14:paraId="6BE0A502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F228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C1B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A95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0.3263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ECD9372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F9E6DA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0.0907</w:t>
            </w:r>
          </w:p>
        </w:tc>
      </w:tr>
      <w:tr w:rsidR="00DD27CC" w:rsidRPr="006335CA" w14:paraId="2B7C7EA4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30AB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2DC2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1.10 (0.91 to 1.32)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6BD6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7B46C12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1.18 (0.97 to 1.42)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46C5818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2B91C99B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1EF6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7A4DA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FEBC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0.6154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21884D56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50BAA5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0.2025</w:t>
            </w:r>
          </w:p>
        </w:tc>
      </w:tr>
      <w:tr w:rsidR="00DD27CC" w:rsidRPr="006335CA" w14:paraId="3FF98B34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1388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A022E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1.10 (0.90 to 1.35)</w:t>
            </w: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53E9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5379EA22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1.21 (0.98 to 1.48)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718080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77FC550B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115F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D4E4B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1.08 (0.74 to 1.58)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527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6206449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1.07 (0.72 to 1.58)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58199F7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707B1BA5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8FAB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Linear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F5297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1.07 (0.92 to 1.23)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1890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0.3738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3F3B1E82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1.11 (0.96 to 1.28)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A0E4508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0.1681</w:t>
            </w:r>
          </w:p>
        </w:tc>
      </w:tr>
      <w:tr w:rsidR="00DD27CC" w:rsidRPr="006335CA" w14:paraId="6F3BCA4F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7DAE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560C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0265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024B61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B6A11DB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0.0647</w:t>
            </w:r>
          </w:p>
        </w:tc>
      </w:tr>
      <w:tr w:rsidR="00DD27CC" w:rsidRPr="006335CA" w14:paraId="07837BC8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2B0A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8FFAA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1.55 (1.16 to 2.06)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FF36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526FAE61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1.31 (0.98 to 1.75)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181B18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6BC51CFA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59EF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6FB19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965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0.0100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6092900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1ABED8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0.1610</w:t>
            </w:r>
          </w:p>
        </w:tc>
      </w:tr>
      <w:tr w:rsidR="00DD27CC" w:rsidRPr="006335CA" w14:paraId="294E814E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8C40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2163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1.63 (1.12 to 2.36)</w:t>
            </w: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1BB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7AEF471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1.30 (0.89 to 1.90)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888205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380A89AE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47EE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B50F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1.46 (0.95 to 2.23)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4BC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1861C2EE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1.37 (0.88 to 2.13)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97FD490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43BA9134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AB4F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Linear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8BA09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1.28 (1.07 to 1.54)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B7EB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0.0075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39BDAB9B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1.20 (0.99 to 1.45)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C6D2F40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0.0644</w:t>
            </w:r>
          </w:p>
        </w:tc>
      </w:tr>
      <w:tr w:rsidR="00DD27CC" w:rsidRPr="006335CA" w14:paraId="6B7EF985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4165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6A0C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9B89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3512A00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692DEE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DD27CC" w:rsidRPr="006335CA" w14:paraId="448F35DB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51D7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B5596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5.09 (4.05 to 6.41)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22F9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488D9AB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1.81 (1.42 to 2.32)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B74A29C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1D977DC6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DDB6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Drug related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3701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6464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DB21DA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6AE73A5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2AEC73B9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E015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6697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63FB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6D65B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4E39C36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DD27CC" w:rsidRPr="006335CA" w14:paraId="5A8062A3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4B36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229A4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2.33 (1.58 to 3.44)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35F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540655B0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2.90 (1.94 to 4.33)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2121370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60760028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F4D7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1859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CA01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66E5467A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4CDA66B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DD27CC" w:rsidRPr="006335CA" w14:paraId="68F945EE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DB98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20A0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1.90 (1.21 to 2.99)</w:t>
            </w:r>
          </w:p>
        </w:tc>
        <w:tc>
          <w:tcPr>
            <w:tcW w:w="9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5BC3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</w:tcBorders>
            <w:vAlign w:val="bottom"/>
          </w:tcPr>
          <w:p w14:paraId="290A262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2.48 (1.55 to 3.95)</w:t>
            </w:r>
          </w:p>
        </w:tc>
        <w:tc>
          <w:tcPr>
            <w:tcW w:w="9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5675A21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47189EB9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A02A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949E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3.90 (2.20 to 6.90)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997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6970BB81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4.47 (2.41 to 8.30)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4D62A11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01C59D7D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032A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Linear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C2192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1.96 (1.50 to 2.55)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A8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A6C43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2.20 (1.67 to 2.89)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FC2084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DD27CC" w:rsidRPr="006335CA" w14:paraId="14050913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6F59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75FE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3493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157BAC38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48A9864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</w:tr>
      <w:tr w:rsidR="00DD27CC" w:rsidRPr="006335CA" w14:paraId="2AAB2FD0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E217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34B11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2.60 (1.51 to 4.47)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CCA6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14EF7B7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2.77 (1.58 to 4.83)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D81E13F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3FE06BBF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1735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FB28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227F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B0C2A71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CC515C1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  <w:tr w:rsidR="00DD27CC" w:rsidRPr="006335CA" w14:paraId="6E57601B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680A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DFF74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3.24 (1.69 to 6.21)</w:t>
            </w: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EB59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70AA5F84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3.78 (1.94 to 7.38)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31F2EE8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490836B9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E63E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3AADF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1.86 (0.76 to 4.57)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F865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54EBE3D3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1.50 (0.57 to 3.90)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8900B23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0FA53847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E88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Linear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3D3C1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1.64 (1.15 to 2.33)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5F9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0.0057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52D3F55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1.58 (1.09 to 2.29)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8779BE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0.0169</w:t>
            </w:r>
          </w:p>
        </w:tc>
      </w:tr>
      <w:tr w:rsidR="00DD27CC" w:rsidRPr="006335CA" w14:paraId="4145A516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AE38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47D8C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5094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0.2628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54ED2D2F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9EB41BC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0.4240</w:t>
            </w:r>
          </w:p>
        </w:tc>
      </w:tr>
      <w:tr w:rsidR="00DD27CC" w:rsidRPr="006335CA" w14:paraId="4579CA8D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407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63B84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1.67 (0.68 to 4.09)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E88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90772D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1.47 (0.57 to 3.82)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DCE7C0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55EE71D4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0" w:type="dxa"/>
            </w:tcMar>
            <w:vAlign w:val="bottom"/>
          </w:tcPr>
          <w:p w14:paraId="6C5C562A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Non-drug related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28C62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60A5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7879FF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5ED2698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29695765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BF56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209A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B666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0.6994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D4B23AB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6A4554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0.5943</w:t>
            </w:r>
          </w:p>
        </w:tc>
      </w:tr>
      <w:tr w:rsidR="00DD27CC" w:rsidRPr="006335CA" w14:paraId="7B2DE6DC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9129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FB912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0.94 (0.69 to 1.28)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C5F4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37C5D006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0.92 (0.67 to 1.26)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ACA3A5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2FC12038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8766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D291A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8425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0.3699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4A602DAC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6C50797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0.5947</w:t>
            </w:r>
          </w:p>
        </w:tc>
      </w:tr>
      <w:tr w:rsidR="00DD27CC" w:rsidRPr="006335CA" w14:paraId="2A78ED4F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E18F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2DCEE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1.04 (0.75 to 1.43)</w:t>
            </w:r>
          </w:p>
        </w:tc>
        <w:tc>
          <w:tcPr>
            <w:tcW w:w="9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4FDC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</w:tcBorders>
            <w:vAlign w:val="bottom"/>
          </w:tcPr>
          <w:p w14:paraId="2FDE63A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0.98 (0.70 to 1.36)</w:t>
            </w:r>
          </w:p>
        </w:tc>
        <w:tc>
          <w:tcPr>
            <w:tcW w:w="9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1A177A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3BCAA3DE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B1C9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5594E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0.57 (0.25 to 1.27)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C925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1F24790B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0.65 (0.28 to 1.49)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544645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16699BC5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46F3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Linear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7C72B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0.90 (0.70 to 1.15)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B63B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0.4020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B1BC7C8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0.90 (0.70 to 1.17)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3CC0F0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0.4351</w:t>
            </w:r>
          </w:p>
        </w:tc>
      </w:tr>
      <w:tr w:rsidR="00DD27CC" w:rsidRPr="006335CA" w14:paraId="680A25C2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A3B0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98FF2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1E3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0.2846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4D38F69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D58859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0.6267</w:t>
            </w:r>
          </w:p>
        </w:tc>
      </w:tr>
      <w:tr w:rsidR="00DD27CC" w:rsidRPr="006335CA" w14:paraId="39BD9A11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61E2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3163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1.28 (0.81 to 2.02)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D9C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FBB72B4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0.89 (0.56 to 1.42)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52C2613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4AB75BCE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5F0F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96F7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7DBC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0.4438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D3F86D1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923BA85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0.9055</w:t>
            </w:r>
          </w:p>
        </w:tc>
      </w:tr>
      <w:tr w:rsidR="00DD27CC" w:rsidRPr="006335CA" w14:paraId="3ED840C2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BF5B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EF7DF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1.45 (0.81 to 2.59)</w:t>
            </w: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22EC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10206359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0.97 (0.54 to 1.75)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58FF5DF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5874CFE7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16AA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73678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1.09 (0.54 to 2.21)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9B11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4886D695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0.85 (0.41 to 1.76)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7E2F24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CC" w:rsidRPr="006335CA" w14:paraId="1C50541B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A990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Linear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DA838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1.12 (0.84 to 1.51)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3AF2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0.4353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22711E26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0.93 (0.68 to 1.28)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89E4F2D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0.6711</w:t>
            </w:r>
          </w:p>
        </w:tc>
      </w:tr>
      <w:tr w:rsidR="00DD27CC" w:rsidRPr="006335CA" w14:paraId="3356B251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52B8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D3E8D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7BAA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1EE61DCC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D11EA4E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DD27CC" w:rsidRPr="006335CA" w14:paraId="68CE5742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8A32" w14:textId="77777777" w:rsidR="00DD27CC" w:rsidRPr="006335CA" w:rsidRDefault="00DD27CC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On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95F8E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6.68 (4.87 to 9.16)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97B0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4F1141" w14:textId="77777777" w:rsidR="00DD27CC" w:rsidRPr="006335CA" w:rsidRDefault="00DD27CC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CA">
              <w:rPr>
                <w:rFonts w:ascii="Arial" w:hAnsi="Arial" w:cs="Arial"/>
                <w:sz w:val="20"/>
                <w:szCs w:val="20"/>
              </w:rPr>
              <w:t>1.82 (1.30 to 2.55)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A55CE0C" w14:textId="77777777" w:rsidR="00DD27CC" w:rsidRPr="006335CA" w:rsidRDefault="00DD27CC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661F5" w14:textId="77777777" w:rsidR="00DD27CC" w:rsidRPr="006335CA" w:rsidRDefault="00DD27CC" w:rsidP="00DD27C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18CBD2" w14:textId="77777777" w:rsidR="00DD27CC" w:rsidRPr="001A08E0" w:rsidRDefault="00DD27CC" w:rsidP="00DD27CC">
      <w:pPr>
        <w:pStyle w:val="ms"/>
        <w:rPr>
          <w:highlight w:val="yellow"/>
        </w:rPr>
      </w:pPr>
    </w:p>
    <w:p w14:paraId="1B500CA3" w14:textId="77777777" w:rsidR="00DD27CC" w:rsidRPr="004A1265" w:rsidRDefault="00DD27CC" w:rsidP="00DD27CC">
      <w:pPr>
        <w:pStyle w:val="ms"/>
        <w:spacing w:line="240" w:lineRule="auto"/>
      </w:pPr>
      <w:r w:rsidRPr="006335CA">
        <w:t>IRR Incident rate ratio; B benzodiazepines</w:t>
      </w:r>
      <w:r>
        <w:t>; Z z-drugs; G gabapentoids</w:t>
      </w:r>
    </w:p>
    <w:p w14:paraId="6901786B" w14:textId="77777777" w:rsidR="00DD27CC" w:rsidRDefault="00DD27CC" w:rsidP="00DD27CC">
      <w:pPr>
        <w:pStyle w:val="ms"/>
        <w:spacing w:line="240" w:lineRule="auto"/>
      </w:pPr>
      <w:r w:rsidRPr="004A1265">
        <w:lastRenderedPageBreak/>
        <w:t>*Adjusted for gender, ag</w:t>
      </w:r>
      <w:r>
        <w:t xml:space="preserve">e, year, comorbidity, region, OST type, OST </w:t>
      </w:r>
      <w:r w:rsidRPr="004A1265">
        <w:t>treatment period</w:t>
      </w:r>
      <w:r>
        <w:t xml:space="preserve">, and </w:t>
      </w:r>
      <w:r w:rsidRPr="004A1265">
        <w:t>where</w:t>
      </w:r>
      <w:r>
        <w:t xml:space="preserve"> </w:t>
      </w:r>
      <w:r w:rsidRPr="004A1265">
        <w:t>applicable</w:t>
      </w:r>
      <w:r>
        <w:t xml:space="preserve"> benzodiazepine, z-drug and gabapentinoid exposure</w:t>
      </w:r>
      <w:r w:rsidRPr="004A1265">
        <w:t>.</w:t>
      </w:r>
    </w:p>
    <w:p w14:paraId="78758B57" w14:textId="77777777" w:rsidR="00DD27CC" w:rsidRPr="004A1265" w:rsidRDefault="00DD27CC" w:rsidP="00DD27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265">
        <w:rPr>
          <w:rFonts w:ascii="Times New Roman" w:hAnsi="Times New Roman" w:cs="Times New Roman"/>
          <w:sz w:val="24"/>
        </w:rPr>
        <w:t xml:space="preserve">Linear trend was applied to ln(IRR). IRR for </w:t>
      </w:r>
      <w:r w:rsidRPr="004A1265">
        <w:rPr>
          <w:rFonts w:ascii="Times New Roman" w:hAnsi="Times New Roman" w:cs="Times New Roman"/>
          <w:i/>
          <w:sz w:val="24"/>
        </w:rPr>
        <w:t>on high</w:t>
      </w:r>
      <w:r w:rsidRPr="004A1265">
        <w:rPr>
          <w:rFonts w:ascii="Times New Roman" w:hAnsi="Times New Roman" w:cs="Times New Roman"/>
          <w:sz w:val="24"/>
        </w:rPr>
        <w:t xml:space="preserve"> was estimated as </w:t>
      </w:r>
      <w:r w:rsidRPr="004A1265">
        <w:rPr>
          <w:rFonts w:ascii="Times New Roman" w:hAnsi="Times New Roman" w:cs="Times New Roman"/>
          <w:i/>
          <w:sz w:val="24"/>
        </w:rPr>
        <w:t>on low</w:t>
      </w:r>
      <w:r w:rsidRPr="004A1265">
        <w:rPr>
          <w:rFonts w:ascii="Times New Roman" w:hAnsi="Times New Roman" w:cs="Times New Roman"/>
          <w:sz w:val="24"/>
        </w:rPr>
        <w:t xml:space="preserve"> squared. The deviation from linearity for adjusted models: </w:t>
      </w:r>
      <w:r>
        <w:rPr>
          <w:rFonts w:ascii="Times New Roman" w:hAnsi="Times New Roman" w:cs="Times New Roman"/>
          <w:sz w:val="24"/>
        </w:rPr>
        <w:t xml:space="preserve">Benzodiazepine </w:t>
      </w:r>
      <w:r w:rsidRPr="004A1265">
        <w:rPr>
          <w:rFonts w:ascii="Times New Roman" w:hAnsi="Times New Roman" w:cs="Times New Roman"/>
          <w:sz w:val="24"/>
        </w:rPr>
        <w:t>p=</w:t>
      </w:r>
      <w:r>
        <w:rPr>
          <w:rFonts w:ascii="Times New Roman" w:hAnsi="Times New Roman" w:cs="Times New Roman"/>
          <w:sz w:val="24"/>
        </w:rPr>
        <w:t>0.6251, 0.7769, 0.5223; Z-drug p=0.4817, 0.0089, 0.8326 for all cause, drug related and non-drug related deaths respectively</w:t>
      </w:r>
      <w:r w:rsidRPr="004A1265">
        <w:rPr>
          <w:rFonts w:ascii="Times New Roman" w:hAnsi="Times New Roman" w:cs="Times New Roman"/>
          <w:sz w:val="24"/>
        </w:rPr>
        <w:t>.</w:t>
      </w:r>
    </w:p>
    <w:p w14:paraId="506F8D14" w14:textId="0EB99C77" w:rsidR="00DD27CC" w:rsidRDefault="00DD27CC" w:rsidP="00DD27CC">
      <w:pPr>
        <w:pStyle w:val="ms"/>
        <w:spacing w:line="240" w:lineRule="auto"/>
      </w:pPr>
      <w:r>
        <w:t xml:space="preserve">High and normal doses are defined in </w:t>
      </w:r>
      <w:r w:rsidR="00C528F2">
        <w:t>S</w:t>
      </w:r>
      <w:r w:rsidR="00392461">
        <w:t xml:space="preserve">2 </w:t>
      </w:r>
      <w:bookmarkStart w:id="1" w:name="_GoBack"/>
      <w:bookmarkEnd w:id="1"/>
      <w:r w:rsidR="00C528F2">
        <w:t>Table</w:t>
      </w:r>
      <w:r>
        <w:t>.</w:t>
      </w:r>
    </w:p>
    <w:p w14:paraId="6284177F" w14:textId="77777777" w:rsidR="00DD27CC" w:rsidRDefault="00DD27CC" w:rsidP="00DD27CC">
      <w:pPr>
        <w:pStyle w:val="ms"/>
      </w:pPr>
    </w:p>
    <w:p w14:paraId="00865E2C" w14:textId="77777777" w:rsidR="00DD27CC" w:rsidRPr="00D93A2F" w:rsidRDefault="00DD27CC" w:rsidP="00DD2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2A1D86" w14:textId="77777777" w:rsidR="00963B5D" w:rsidRDefault="00392461"/>
    <w:sectPr w:rsidR="0096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AC52" w14:textId="77777777" w:rsidR="00DD27CC" w:rsidRDefault="00DD27CC" w:rsidP="00DD27CC">
      <w:pPr>
        <w:spacing w:after="0" w:line="240" w:lineRule="auto"/>
      </w:pPr>
      <w:r>
        <w:separator/>
      </w:r>
    </w:p>
  </w:endnote>
  <w:endnote w:type="continuationSeparator" w:id="0">
    <w:p w14:paraId="7753CA5F" w14:textId="77777777" w:rsidR="00DD27CC" w:rsidRDefault="00DD27CC" w:rsidP="00D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1147" w14:textId="77777777" w:rsidR="00DD27CC" w:rsidRDefault="00DD27CC" w:rsidP="00DD27CC">
      <w:pPr>
        <w:spacing w:after="0" w:line="240" w:lineRule="auto"/>
      </w:pPr>
      <w:r>
        <w:separator/>
      </w:r>
    </w:p>
  </w:footnote>
  <w:footnote w:type="continuationSeparator" w:id="0">
    <w:p w14:paraId="44DE38FC" w14:textId="77777777" w:rsidR="00DD27CC" w:rsidRDefault="00DD27CC" w:rsidP="00DD2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CC"/>
    <w:rsid w:val="00102847"/>
    <w:rsid w:val="00312E4F"/>
    <w:rsid w:val="00392461"/>
    <w:rsid w:val="00534F05"/>
    <w:rsid w:val="00C528F2"/>
    <w:rsid w:val="00DD27CC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5A720"/>
  <w15:chartTrackingRefBased/>
  <w15:docId w15:val="{2DB19686-A0C1-4E39-A277-977D274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7CC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"/>
    <w:basedOn w:val="Normal"/>
    <w:link w:val="msChar"/>
    <w:qFormat/>
    <w:rsid w:val="00DD27CC"/>
    <w:pPr>
      <w:spacing w:after="0" w:line="360" w:lineRule="auto"/>
    </w:pPr>
    <w:rPr>
      <w:rFonts w:ascii="Times New Roman" w:hAnsi="Times New Roman" w:cs="Times New Roman"/>
      <w:sz w:val="24"/>
    </w:rPr>
  </w:style>
  <w:style w:type="character" w:customStyle="1" w:styleId="msChar">
    <w:name w:val="ms Char"/>
    <w:basedOn w:val="DefaultParagraphFont"/>
    <w:link w:val="ms"/>
    <w:rsid w:val="00DD27CC"/>
    <w:rPr>
      <w:rFonts w:ascii="Times New Roman" w:eastAsiaTheme="minorHAnsi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F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Macleod</dc:creator>
  <cp:keywords/>
  <dc:description/>
  <cp:lastModifiedBy>John Macleod</cp:lastModifiedBy>
  <cp:revision>2</cp:revision>
  <dcterms:created xsi:type="dcterms:W3CDTF">2019-10-21T13:56:00Z</dcterms:created>
  <dcterms:modified xsi:type="dcterms:W3CDTF">2019-10-21T13:56:00Z</dcterms:modified>
</cp:coreProperties>
</file>