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FDBB4" w14:textId="3242F542" w:rsidR="0051320B" w:rsidRPr="0051320B" w:rsidRDefault="0051320B" w:rsidP="0051320B">
      <w:pPr>
        <w:rPr>
          <w:rFonts w:ascii="Arial" w:hAnsi="Arial" w:cs="Arial"/>
          <w:b/>
          <w:bCs/>
        </w:rPr>
      </w:pPr>
      <w:bookmarkStart w:id="0" w:name="_GoBack"/>
      <w:bookmarkEnd w:id="0"/>
      <w:r w:rsidRPr="0051320B">
        <w:rPr>
          <w:rFonts w:ascii="Arial" w:hAnsi="Arial" w:cs="Arial"/>
          <w:b/>
          <w:bCs/>
        </w:rPr>
        <w:t>Appendix. Summary of analyses and associated commands in Stata.</w:t>
      </w:r>
    </w:p>
    <w:p w14:paraId="799C697F" w14:textId="77777777" w:rsidR="0051320B" w:rsidRPr="0051320B" w:rsidRDefault="0051320B" w:rsidP="0051320B">
      <w:pPr>
        <w:rPr>
          <w:rFonts w:ascii="Arial" w:hAnsi="Arial" w:cs="Arial"/>
        </w:rPr>
      </w:pPr>
    </w:p>
    <w:p w14:paraId="00881691" w14:textId="77777777" w:rsidR="0051320B" w:rsidRPr="0051320B" w:rsidRDefault="0051320B" w:rsidP="0051320B">
      <w:pPr>
        <w:rPr>
          <w:rFonts w:ascii="Arial" w:hAnsi="Arial" w:cs="Arial"/>
        </w:rPr>
      </w:pPr>
      <w:r w:rsidRPr="0051320B">
        <w:rPr>
          <w:rFonts w:ascii="Arial" w:hAnsi="Arial" w:cs="Arial"/>
        </w:rPr>
        <w:t>First, Cox proportional hazards models were used to assess survival in relation to co-prescription (the exposure):</w:t>
      </w:r>
    </w:p>
    <w:p w14:paraId="7FD65BAA" w14:textId="77777777" w:rsidR="0051320B" w:rsidRPr="0051320B" w:rsidRDefault="0051320B" w:rsidP="0051320B">
      <w:pPr>
        <w:rPr>
          <w:rFonts w:ascii="Arial" w:hAnsi="Arial" w:cs="Arial"/>
        </w:rPr>
      </w:pPr>
    </w:p>
    <w:p w14:paraId="5D87824B" w14:textId="77777777" w:rsidR="0051320B" w:rsidRPr="0051320B" w:rsidRDefault="0051320B" w:rsidP="0051320B">
      <w:pPr>
        <w:rPr>
          <w:rFonts w:ascii="Arial" w:hAnsi="Arial" w:cs="Arial"/>
        </w:rPr>
      </w:pPr>
      <w:proofErr w:type="spellStart"/>
      <w:r w:rsidRPr="0051320B">
        <w:rPr>
          <w:rFonts w:ascii="Arial" w:hAnsi="Arial" w:cs="Arial"/>
        </w:rPr>
        <w:t>stcox</w:t>
      </w:r>
      <w:proofErr w:type="spellEnd"/>
      <w:r w:rsidRPr="0051320B">
        <w:rPr>
          <w:rFonts w:ascii="Arial" w:hAnsi="Arial" w:cs="Arial"/>
        </w:rPr>
        <w:t xml:space="preserve"> exposure (unadjusted analyses, table 3)</w:t>
      </w:r>
    </w:p>
    <w:p w14:paraId="329E4E17" w14:textId="77777777" w:rsidR="0051320B" w:rsidRPr="0051320B" w:rsidRDefault="0051320B" w:rsidP="0051320B">
      <w:pPr>
        <w:rPr>
          <w:rFonts w:ascii="Arial" w:hAnsi="Arial" w:cs="Arial"/>
        </w:rPr>
      </w:pPr>
    </w:p>
    <w:p w14:paraId="7E268FD5" w14:textId="77777777" w:rsidR="0051320B" w:rsidRPr="0051320B" w:rsidRDefault="0051320B" w:rsidP="0051320B">
      <w:pPr>
        <w:rPr>
          <w:rFonts w:ascii="Arial" w:hAnsi="Arial" w:cs="Arial"/>
        </w:rPr>
      </w:pPr>
      <w:r w:rsidRPr="0051320B">
        <w:rPr>
          <w:rFonts w:ascii="Arial" w:hAnsi="Arial" w:cs="Arial"/>
        </w:rPr>
        <w:t xml:space="preserve">We then also adjusted for age, gender, year, comorbidity, region, OST type, OST treatment period, and where applicable benzodiazepine, z-drug and </w:t>
      </w:r>
      <w:proofErr w:type="spellStart"/>
      <w:r w:rsidRPr="0051320B">
        <w:rPr>
          <w:rFonts w:ascii="Arial" w:hAnsi="Arial" w:cs="Arial"/>
        </w:rPr>
        <w:t>gabapentinoid</w:t>
      </w:r>
      <w:proofErr w:type="spellEnd"/>
      <w:r w:rsidRPr="0051320B">
        <w:rPr>
          <w:rFonts w:ascii="Arial" w:hAnsi="Arial" w:cs="Arial"/>
        </w:rPr>
        <w:t xml:space="preserve"> exposure, by adding all these variables as covariates into the survival model. Some covariates were constant across each individual (e.g. gender, region), and others varied by episode (age, year, comorbidity) and within episodes (OST type, OST treatment period, other </w:t>
      </w:r>
      <w:proofErr w:type="spellStart"/>
      <w:r w:rsidRPr="0051320B">
        <w:rPr>
          <w:rFonts w:ascii="Arial" w:hAnsi="Arial" w:cs="Arial"/>
        </w:rPr>
        <w:t>prescibed</w:t>
      </w:r>
      <w:proofErr w:type="spellEnd"/>
      <w:r w:rsidRPr="0051320B">
        <w:rPr>
          <w:rFonts w:ascii="Arial" w:hAnsi="Arial" w:cs="Arial"/>
        </w:rPr>
        <w:t xml:space="preserve"> drugs).</w:t>
      </w:r>
    </w:p>
    <w:p w14:paraId="2868E986" w14:textId="77777777" w:rsidR="0051320B" w:rsidRPr="0051320B" w:rsidRDefault="0051320B" w:rsidP="0051320B">
      <w:pPr>
        <w:rPr>
          <w:rFonts w:ascii="Arial" w:hAnsi="Arial" w:cs="Arial"/>
        </w:rPr>
      </w:pPr>
      <w:proofErr w:type="spellStart"/>
      <w:r w:rsidRPr="0051320B">
        <w:rPr>
          <w:rFonts w:ascii="Arial" w:hAnsi="Arial" w:cs="Arial"/>
        </w:rPr>
        <w:t>stcox</w:t>
      </w:r>
      <w:proofErr w:type="spellEnd"/>
      <w:r w:rsidRPr="0051320B">
        <w:rPr>
          <w:rFonts w:ascii="Arial" w:hAnsi="Arial" w:cs="Arial"/>
        </w:rPr>
        <w:t xml:space="preserve"> exposure covariates (adjusted analyses, table 3)</w:t>
      </w:r>
    </w:p>
    <w:p w14:paraId="5BD378FE" w14:textId="77777777" w:rsidR="0051320B" w:rsidRPr="0051320B" w:rsidRDefault="0051320B" w:rsidP="0051320B">
      <w:pPr>
        <w:rPr>
          <w:rFonts w:ascii="Arial" w:hAnsi="Arial" w:cs="Arial"/>
        </w:rPr>
      </w:pPr>
    </w:p>
    <w:p w14:paraId="5AD594C5" w14:textId="77777777" w:rsidR="0051320B" w:rsidRPr="0051320B" w:rsidRDefault="0051320B" w:rsidP="0051320B">
      <w:pPr>
        <w:rPr>
          <w:rFonts w:ascii="Arial" w:hAnsi="Arial" w:cs="Arial"/>
        </w:rPr>
      </w:pPr>
      <w:r w:rsidRPr="0051320B">
        <w:rPr>
          <w:rFonts w:ascii="Arial" w:hAnsi="Arial" w:cs="Arial"/>
        </w:rPr>
        <w:t xml:space="preserve">Where there was evidence of an association between the exposure and survival, we investigated whether the association depended on the OST treatment period. We fitted an interaction, allowing the effect of exposure to differ across the two categories of treatment (on or off treatment). </w:t>
      </w:r>
    </w:p>
    <w:p w14:paraId="4EB92401" w14:textId="3B0A716D" w:rsidR="0051320B" w:rsidRPr="0051320B" w:rsidRDefault="0051320B" w:rsidP="0051320B">
      <w:pPr>
        <w:rPr>
          <w:rFonts w:ascii="Arial" w:hAnsi="Arial" w:cs="Arial"/>
        </w:rPr>
      </w:pPr>
      <w:proofErr w:type="spellStart"/>
      <w:r w:rsidRPr="0051320B">
        <w:rPr>
          <w:rFonts w:ascii="Arial" w:hAnsi="Arial" w:cs="Arial"/>
        </w:rPr>
        <w:t>stcox</w:t>
      </w:r>
      <w:proofErr w:type="spellEnd"/>
      <w:r w:rsidRPr="0051320B">
        <w:rPr>
          <w:rFonts w:ascii="Arial" w:hAnsi="Arial" w:cs="Arial"/>
        </w:rPr>
        <w:t xml:space="preserve"> exposure*treatment period (Analyses in Table 4)</w:t>
      </w:r>
    </w:p>
    <w:p w14:paraId="2FA71D6B" w14:textId="77777777" w:rsidR="0051320B" w:rsidRPr="0051320B" w:rsidRDefault="0051320B" w:rsidP="0051320B">
      <w:pPr>
        <w:rPr>
          <w:rFonts w:ascii="Arial" w:hAnsi="Arial" w:cs="Arial"/>
        </w:rPr>
      </w:pPr>
    </w:p>
    <w:p w14:paraId="392070A8" w14:textId="77777777" w:rsidR="0051320B" w:rsidRPr="0051320B" w:rsidRDefault="0051320B" w:rsidP="0051320B">
      <w:pPr>
        <w:rPr>
          <w:rFonts w:ascii="Arial" w:hAnsi="Arial" w:cs="Arial"/>
        </w:rPr>
      </w:pPr>
      <w:r w:rsidRPr="0051320B">
        <w:rPr>
          <w:rFonts w:ascii="Arial" w:hAnsi="Arial" w:cs="Arial"/>
        </w:rPr>
        <w:t>We then examined the association between concurrent prescription and survival, by including as an exposure only benzodiazepine that was prescribed during the period on OST treatment.</w:t>
      </w:r>
    </w:p>
    <w:p w14:paraId="2C8EAE41" w14:textId="77777777" w:rsidR="0051320B" w:rsidRPr="0051320B" w:rsidRDefault="0051320B" w:rsidP="0051320B">
      <w:pPr>
        <w:rPr>
          <w:rFonts w:ascii="Arial" w:hAnsi="Arial" w:cs="Arial"/>
        </w:rPr>
      </w:pPr>
      <w:proofErr w:type="spellStart"/>
      <w:r w:rsidRPr="0051320B">
        <w:rPr>
          <w:rFonts w:ascii="Arial" w:hAnsi="Arial" w:cs="Arial"/>
        </w:rPr>
        <w:t>stcox</w:t>
      </w:r>
      <w:proofErr w:type="spellEnd"/>
      <w:r w:rsidRPr="0051320B">
        <w:rPr>
          <w:rFonts w:ascii="Arial" w:hAnsi="Arial" w:cs="Arial"/>
        </w:rPr>
        <w:t xml:space="preserve"> exposure covariates (adjusted analyses, table 5)</w:t>
      </w:r>
    </w:p>
    <w:p w14:paraId="78BFC98E" w14:textId="77777777" w:rsidR="0051320B" w:rsidRPr="0051320B" w:rsidRDefault="0051320B" w:rsidP="0051320B">
      <w:pPr>
        <w:rPr>
          <w:rFonts w:ascii="Arial" w:hAnsi="Arial" w:cs="Arial"/>
        </w:rPr>
      </w:pPr>
    </w:p>
    <w:p w14:paraId="70A43389" w14:textId="77777777" w:rsidR="0051320B" w:rsidRDefault="0051320B" w:rsidP="0051320B"/>
    <w:p w14:paraId="6659FEC9" w14:textId="77777777" w:rsidR="0051320B" w:rsidRPr="00DD5FBC" w:rsidRDefault="0051320B" w:rsidP="0051320B"/>
    <w:p w14:paraId="25905424" w14:textId="77777777" w:rsidR="0051320B" w:rsidRPr="00DD5FBC" w:rsidRDefault="0051320B" w:rsidP="0051320B"/>
    <w:p w14:paraId="7EEB7072" w14:textId="77777777" w:rsidR="00963B5D" w:rsidRDefault="003B23F3"/>
    <w:sectPr w:rsidR="00963B5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A5289" w14:textId="77777777" w:rsidR="0051320B" w:rsidRDefault="0051320B" w:rsidP="0051320B">
      <w:pPr>
        <w:spacing w:after="0" w:line="240" w:lineRule="auto"/>
      </w:pPr>
      <w:r>
        <w:separator/>
      </w:r>
    </w:p>
  </w:endnote>
  <w:endnote w:type="continuationSeparator" w:id="0">
    <w:p w14:paraId="585156F1" w14:textId="77777777" w:rsidR="0051320B" w:rsidRDefault="0051320B" w:rsidP="00513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AC1E" w14:textId="77777777" w:rsidR="0051320B" w:rsidRDefault="00513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74F7C" w14:textId="77777777" w:rsidR="00EB621E" w:rsidRDefault="00C8510B">
    <w:pPr>
      <w:pStyle w:val="Footer"/>
    </w:pPr>
    <w:r>
      <w:rPr>
        <w:noProof/>
      </w:rPr>
      <mc:AlternateContent>
        <mc:Choice Requires="wps">
          <w:drawing>
            <wp:anchor distT="0" distB="0" distL="114300" distR="114300" simplePos="0" relativeHeight="251659264" behindDoc="0" locked="0" layoutInCell="0" allowOverlap="1" wp14:anchorId="7909F01A" wp14:editId="0D4D1799">
              <wp:simplePos x="0" y="0"/>
              <wp:positionH relativeFrom="page">
                <wp:posOffset>0</wp:posOffset>
              </wp:positionH>
              <wp:positionV relativeFrom="page">
                <wp:posOffset>10234930</wp:posOffset>
              </wp:positionV>
              <wp:extent cx="7560310" cy="266700"/>
              <wp:effectExtent l="0" t="0" r="0" b="0"/>
              <wp:wrapNone/>
              <wp:docPr id="1" name="MSIPCMe1924760944d59bbd49e1be0" descr="{&quot;HashCode&quot;:130014680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F8AADE" w14:textId="43814B45" w:rsidR="00EB621E" w:rsidRPr="00EC2EEB" w:rsidRDefault="003B23F3" w:rsidP="00EC2EEB">
                          <w:pPr>
                            <w:spacing w:after="0"/>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09F01A" id="_x0000_t202" coordsize="21600,21600" o:spt="202" path="m,l,21600r21600,l21600,xe">
              <v:stroke joinstyle="miter"/>
              <v:path gradientshapeok="t" o:connecttype="rect"/>
            </v:shapetype>
            <v:shape id="MSIPCMe1924760944d59bbd49e1be0" o:spid="_x0000_s1026" type="#_x0000_t202" alt="{&quot;HashCode&quot;:130014680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MMbFQggAwAANwYAAA4AAAAA&#10;AAAAAAAAAAAALgIAAGRycy9lMm9Eb2MueG1sUEsBAi0AFAAGAAgAAAAhAGARxibeAAAACwEAAA8A&#10;AAAAAAAAAAAAAAAAegUAAGRycy9kb3ducmV2LnhtbFBLBQYAAAAABAAEAPMAAACFBgAAAAA=&#10;" o:allowincell="f" filled="f" stroked="f" strokeweight=".5pt">
              <v:textbox inset="20pt,0,,0">
                <w:txbxContent>
                  <w:p w14:paraId="2CF8AADE" w14:textId="43814B45" w:rsidR="00EB621E" w:rsidRPr="00EC2EEB" w:rsidRDefault="00C8510B" w:rsidP="00EC2EEB">
                    <w:pPr>
                      <w:spacing w:after="0"/>
                      <w:rPr>
                        <w:rFonts w:ascii="Calibri" w:hAnsi="Calibri" w:cs="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29F14" w14:textId="77777777" w:rsidR="0051320B" w:rsidRDefault="00513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24901" w14:textId="77777777" w:rsidR="0051320B" w:rsidRDefault="0051320B" w:rsidP="0051320B">
      <w:pPr>
        <w:spacing w:after="0" w:line="240" w:lineRule="auto"/>
      </w:pPr>
      <w:r>
        <w:separator/>
      </w:r>
    </w:p>
  </w:footnote>
  <w:footnote w:type="continuationSeparator" w:id="0">
    <w:p w14:paraId="4CFA9BCB" w14:textId="77777777" w:rsidR="0051320B" w:rsidRDefault="0051320B" w:rsidP="00513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F1476" w14:textId="77777777" w:rsidR="0051320B" w:rsidRDefault="00513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1C917" w14:textId="77777777" w:rsidR="0051320B" w:rsidRDefault="005132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3EC48" w14:textId="77777777" w:rsidR="0051320B" w:rsidRDefault="005132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0B"/>
    <w:rsid w:val="001B48DC"/>
    <w:rsid w:val="00312E4F"/>
    <w:rsid w:val="003871FD"/>
    <w:rsid w:val="003B23F3"/>
    <w:rsid w:val="0051320B"/>
    <w:rsid w:val="00C8510B"/>
    <w:rsid w:val="00FA6E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BC8A9"/>
  <w15:chartTrackingRefBased/>
  <w15:docId w15:val="{F9831B59-0E77-49E1-AB9E-77932E79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3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3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20B"/>
  </w:style>
  <w:style w:type="paragraph" w:styleId="Header">
    <w:name w:val="header"/>
    <w:basedOn w:val="Normal"/>
    <w:link w:val="HeaderChar"/>
    <w:uiPriority w:val="99"/>
    <w:unhideWhenUsed/>
    <w:rsid w:val="00513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Macleod</dc:creator>
  <cp:keywords/>
  <dc:description/>
  <cp:lastModifiedBy>John Macleod</cp:lastModifiedBy>
  <cp:revision>2</cp:revision>
  <dcterms:created xsi:type="dcterms:W3CDTF">2019-10-21T13:48:00Z</dcterms:created>
  <dcterms:modified xsi:type="dcterms:W3CDTF">2019-10-21T13:48:00Z</dcterms:modified>
</cp:coreProperties>
</file>