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8F" w:rsidRPr="008D70A4" w:rsidRDefault="006C128F" w:rsidP="006C128F">
      <w:pPr>
        <w:keepNext/>
        <w:keepLines/>
        <w:outlineLvl w:val="2"/>
        <w:rPr>
          <w:rFonts w:eastAsia="SimSun"/>
          <w:b/>
          <w:sz w:val="21"/>
          <w:szCs w:val="21"/>
        </w:rPr>
      </w:pPr>
      <w:r w:rsidRPr="008D70A4">
        <w:rPr>
          <w:rFonts w:eastAsia="SimSun"/>
          <w:b/>
          <w:sz w:val="21"/>
          <w:szCs w:val="21"/>
        </w:rPr>
        <w:t>S17</w:t>
      </w:r>
      <w:r>
        <w:rPr>
          <w:rFonts w:eastAsia="SimSun"/>
          <w:b/>
          <w:sz w:val="21"/>
          <w:szCs w:val="21"/>
        </w:rPr>
        <w:t xml:space="preserve"> </w:t>
      </w:r>
      <w:r w:rsidRPr="008D70A4">
        <w:rPr>
          <w:rFonts w:eastAsia="SimSun"/>
          <w:b/>
          <w:sz w:val="21"/>
          <w:szCs w:val="21"/>
        </w:rPr>
        <w:t>Table. Results from MR-</w:t>
      </w:r>
      <w:proofErr w:type="spellStart"/>
      <w:r w:rsidRPr="008D70A4">
        <w:rPr>
          <w:rFonts w:eastAsia="SimSun"/>
          <w:b/>
          <w:sz w:val="21"/>
          <w:szCs w:val="21"/>
        </w:rPr>
        <w:t>MoE</w:t>
      </w:r>
      <w:proofErr w:type="spellEnd"/>
      <w:r w:rsidRPr="008D70A4">
        <w:rPr>
          <w:rFonts w:eastAsia="SimSun"/>
          <w:b/>
          <w:sz w:val="21"/>
          <w:szCs w:val="21"/>
        </w:rPr>
        <w:t xml:space="preserve"> analysis for urate and ischaemic stroke (IS).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037"/>
        <w:gridCol w:w="1037"/>
        <w:gridCol w:w="1037"/>
        <w:gridCol w:w="1037"/>
        <w:gridCol w:w="1037"/>
        <w:gridCol w:w="1037"/>
        <w:gridCol w:w="1037"/>
      </w:tblGrid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b/>
                <w:color w:val="000000"/>
                <w:sz w:val="18"/>
                <w:szCs w:val="18"/>
              </w:rPr>
            </w:pPr>
            <w:r w:rsidRPr="006C128F">
              <w:rPr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28F">
              <w:rPr>
                <w:b/>
                <w:color w:val="000000"/>
                <w:sz w:val="18"/>
                <w:szCs w:val="18"/>
              </w:rPr>
              <w:t>nsnp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128F">
              <w:rPr>
                <w:b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128F">
              <w:rPr>
                <w:b/>
                <w:color w:val="000000"/>
                <w:sz w:val="18"/>
                <w:szCs w:val="18"/>
              </w:rPr>
              <w:t>se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28F">
              <w:rPr>
                <w:b/>
                <w:color w:val="000000"/>
                <w:sz w:val="18"/>
                <w:szCs w:val="18"/>
              </w:rPr>
              <w:t>ci_low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28F">
              <w:rPr>
                <w:b/>
                <w:color w:val="000000"/>
                <w:sz w:val="18"/>
                <w:szCs w:val="18"/>
              </w:rPr>
              <w:t>ci_upp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28F">
              <w:rPr>
                <w:b/>
                <w:color w:val="000000"/>
                <w:sz w:val="18"/>
                <w:szCs w:val="18"/>
              </w:rPr>
              <w:t>pval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128F">
              <w:rPr>
                <w:b/>
                <w:color w:val="000000"/>
                <w:sz w:val="18"/>
                <w:szCs w:val="18"/>
              </w:rPr>
              <w:t>MOE</w:t>
            </w:r>
            <w:r w:rsidRPr="006C128F">
              <w:rPr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RE IVW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Simple median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-0.141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Simple mean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Weighted mode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-0.110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0.74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Weighted median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-0.107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Penalised median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-0.103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0.71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FE IVW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Penalised mode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-0.113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Simple mode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-0.260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0.61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FE Egger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-0.174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6C128F" w:rsidRPr="006C128F" w:rsidTr="00C77C27">
        <w:trPr>
          <w:trHeight w:val="29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RE Egger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-0.174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6C128F" w:rsidRPr="006C128F" w:rsidRDefault="006C128F" w:rsidP="00C77C27">
            <w:pPr>
              <w:jc w:val="center"/>
              <w:rPr>
                <w:color w:val="000000"/>
                <w:sz w:val="18"/>
                <w:szCs w:val="18"/>
              </w:rPr>
            </w:pPr>
            <w:r w:rsidRPr="006C128F">
              <w:rPr>
                <w:color w:val="000000"/>
                <w:sz w:val="18"/>
                <w:szCs w:val="18"/>
              </w:rPr>
              <w:t>0.60</w:t>
            </w:r>
          </w:p>
        </w:tc>
      </w:tr>
    </w:tbl>
    <w:p w:rsidR="005119F8" w:rsidRDefault="006C128F">
      <w:r w:rsidRPr="00067BBE">
        <w:rPr>
          <w:bCs/>
          <w:sz w:val="16"/>
          <w:szCs w:val="16"/>
        </w:rPr>
        <w:t xml:space="preserve">*A predictor for each method for how well it performs in terms of high power and low type 1 error (scaled 0-1, where 1 is best performance) for causal inference; (FE, fixed-effect; RE, random-effect; </w:t>
      </w:r>
      <w:bookmarkStart w:id="0" w:name="_GoBack"/>
      <w:bookmarkEnd w:id="0"/>
      <w:r w:rsidRPr="00067BBE">
        <w:rPr>
          <w:bCs/>
          <w:sz w:val="16"/>
          <w:szCs w:val="16"/>
        </w:rPr>
        <w:t>IVW, inverse variance weighted).</w:t>
      </w:r>
    </w:p>
    <w:sectPr w:rsidR="0051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93"/>
    <w:rsid w:val="0005749A"/>
    <w:rsid w:val="003406A7"/>
    <w:rsid w:val="003533C3"/>
    <w:rsid w:val="005119F8"/>
    <w:rsid w:val="00541574"/>
    <w:rsid w:val="006C128F"/>
    <w:rsid w:val="00A30264"/>
    <w:rsid w:val="00AA4293"/>
    <w:rsid w:val="00AF148A"/>
    <w:rsid w:val="00B80743"/>
    <w:rsid w:val="00B94312"/>
    <w:rsid w:val="00C2216C"/>
    <w:rsid w:val="00E521EA"/>
    <w:rsid w:val="00E576BD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A092B-5E2F-4E60-B2DB-7852871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6B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6B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6B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6B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7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76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576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576BD"/>
    <w:rPr>
      <w:b/>
      <w:bCs/>
      <w:i w:val="0"/>
      <w:iCs w:val="0"/>
    </w:rPr>
  </w:style>
  <w:style w:type="paragraph" w:styleId="NoSpacing">
    <w:name w:val="No Spacing"/>
    <w:uiPriority w:val="1"/>
    <w:qFormat/>
    <w:rsid w:val="00E576BD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6BD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576BD"/>
    <w:pPr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009999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University of Edinburgh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Xue</dc:creator>
  <cp:keywords/>
  <dc:description/>
  <cp:lastModifiedBy>LI Xue</cp:lastModifiedBy>
  <cp:revision>2</cp:revision>
  <dcterms:created xsi:type="dcterms:W3CDTF">2019-09-02T15:42:00Z</dcterms:created>
  <dcterms:modified xsi:type="dcterms:W3CDTF">2019-09-02T15:42:00Z</dcterms:modified>
</cp:coreProperties>
</file>