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A7918" w14:textId="77777777" w:rsidR="00AF7E40" w:rsidRDefault="00AF7E40" w:rsidP="00AF7E4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S5 Table</w:t>
      </w:r>
      <w:r w:rsidRPr="007563CA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>Sensitivity Analyses for Difference-in-Differences Estimates</w:t>
      </w:r>
    </w:p>
    <w:p w14:paraId="404457AC" w14:textId="77777777" w:rsidR="00AF7E40" w:rsidRDefault="00AF7E40" w:rsidP="00AF7E40">
      <w:pPr>
        <w:ind w:left="-90"/>
        <w:outlineLvl w:val="0"/>
        <w:rPr>
          <w:rFonts w:ascii="Times New Roman" w:hAnsi="Times New Roman" w:cs="Times New Roman"/>
        </w:rPr>
      </w:pPr>
    </w:p>
    <w:p w14:paraId="18E4460A" w14:textId="5AC13477" w:rsidR="00AF7E40" w:rsidRDefault="00AF7E40" w:rsidP="00AF7E40">
      <w:pPr>
        <w:ind w:left="-90"/>
        <w:jc w:val="center"/>
        <w:outlineLvl w:val="0"/>
        <w:rPr>
          <w:rFonts w:ascii="Times New Roman" w:hAnsi="Times New Roman" w:cs="Times New Roman"/>
        </w:rPr>
      </w:pPr>
      <w:r w:rsidRPr="00130E2A">
        <w:rPr>
          <w:rFonts w:ascii="Times New Roman" w:hAnsi="Times New Roman" w:cs="Times New Roman"/>
          <w:noProof/>
        </w:rPr>
        <w:drawing>
          <wp:inline distT="0" distB="0" distL="0" distR="0" wp14:anchorId="42050938" wp14:editId="563F703A">
            <wp:extent cx="7122203" cy="5384800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24953" cy="5386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FBE56" w14:textId="77777777" w:rsidR="00AF7E40" w:rsidRDefault="00AF7E40" w:rsidP="00AF7E40">
      <w:pPr>
        <w:ind w:left="-90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B068E28" w14:textId="0864CB39" w:rsidR="00CC123A" w:rsidRPr="007B1800" w:rsidRDefault="00AF7E40" w:rsidP="007B1800">
      <w:pPr>
        <w:ind w:left="720"/>
        <w:rPr>
          <w:rFonts w:ascii="Times New Roman" w:hAnsi="Times New Roman" w:cs="Times New Roman"/>
          <w:sz w:val="20"/>
          <w:szCs w:val="20"/>
        </w:rPr>
      </w:pPr>
      <w:r w:rsidRPr="00A16A79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Notes: </w:t>
      </w:r>
      <w:r>
        <w:rPr>
          <w:rFonts w:ascii="Times New Roman" w:hAnsi="Times New Roman" w:cs="Times New Roman"/>
          <w:sz w:val="20"/>
          <w:szCs w:val="20"/>
        </w:rPr>
        <w:t>This table provides estimates from s</w:t>
      </w:r>
      <w:r w:rsidRPr="00A16A79">
        <w:rPr>
          <w:rFonts w:ascii="Times New Roman" w:hAnsi="Times New Roman" w:cs="Times New Roman"/>
          <w:sz w:val="20"/>
          <w:szCs w:val="20"/>
        </w:rPr>
        <w:t xml:space="preserve">ensitivity analyses </w:t>
      </w:r>
      <w:r>
        <w:rPr>
          <w:rFonts w:ascii="Times New Roman" w:hAnsi="Times New Roman" w:cs="Times New Roman"/>
          <w:sz w:val="20"/>
          <w:szCs w:val="20"/>
        </w:rPr>
        <w:t>designed to probe the robustness of our estimates to alternative specifications</w:t>
      </w:r>
      <w:r w:rsidRPr="00A16A79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Column 1 shows the primary estimates, </w:t>
      </w:r>
      <w:r w:rsidRPr="00A16A79">
        <w:rPr>
          <w:rFonts w:ascii="Times New Roman" w:hAnsi="Times New Roman" w:cs="Times New Roman"/>
          <w:sz w:val="20"/>
          <w:szCs w:val="20"/>
        </w:rPr>
        <w:t xml:space="preserve">identical to those presented in </w:t>
      </w:r>
      <w:r>
        <w:rPr>
          <w:rFonts w:ascii="Times New Roman" w:hAnsi="Times New Roman" w:cs="Times New Roman"/>
          <w:b/>
          <w:sz w:val="20"/>
          <w:szCs w:val="20"/>
        </w:rPr>
        <w:t>Table 2</w:t>
      </w:r>
      <w:r>
        <w:rPr>
          <w:rFonts w:ascii="Times New Roman" w:hAnsi="Times New Roman" w:cs="Times New Roman"/>
          <w:sz w:val="20"/>
          <w:szCs w:val="20"/>
        </w:rPr>
        <w:t xml:space="preserve"> of the main text. Column 2 displays estimates that are additionally adjusted for </w:t>
      </w:r>
      <w:r w:rsidRPr="00232E3C">
        <w:rPr>
          <w:rFonts w:ascii="Times New Roman" w:hAnsi="Times New Roman" w:cs="Times New Roman"/>
          <w:sz w:val="20"/>
          <w:szCs w:val="20"/>
        </w:rPr>
        <w:t>state- and year-specific cigarette tax rates, alcohol tax rates, (logarithm of) per capita income, and unemployment rates</w:t>
      </w:r>
      <w:r>
        <w:rPr>
          <w:rFonts w:ascii="Times New Roman" w:hAnsi="Times New Roman" w:cs="Times New Roman"/>
          <w:sz w:val="20"/>
          <w:szCs w:val="20"/>
        </w:rPr>
        <w:t xml:space="preserve">. Column 3 displays estimates from regression models in which we </w:t>
      </w:r>
      <w:r w:rsidR="007B1800">
        <w:rPr>
          <w:rFonts w:ascii="Times New Roman" w:hAnsi="Times New Roman" w:cs="Times New Roman"/>
          <w:sz w:val="20"/>
          <w:szCs w:val="20"/>
        </w:rPr>
        <w:t xml:space="preserve">accounted for potential geographic spillover effects for adolescents in states adjacent to those implementing affirmative action bans, whose college choice set may have included institutions in nearby, ban-implementing states. Specifically, we included in these models </w:t>
      </w:r>
      <w:r w:rsidR="007B1800" w:rsidRPr="007B1800">
        <w:rPr>
          <w:rFonts w:ascii="Times New Roman" w:eastAsiaTheme="minorHAnsi" w:hAnsi="Times New Roman" w:cs="Times New Roman"/>
          <w:color w:val="000000"/>
          <w:sz w:val="20"/>
          <w:szCs w:val="20"/>
        </w:rPr>
        <w:t>a separate binary indicator denot</w:t>
      </w:r>
      <w:r w:rsidR="007B1800" w:rsidRPr="007B1800">
        <w:rPr>
          <w:rFonts w:ascii="Times New Roman" w:eastAsiaTheme="minorHAnsi" w:hAnsi="Times New Roman" w:cs="Times New Roman"/>
          <w:color w:val="000000"/>
          <w:sz w:val="20"/>
          <w:szCs w:val="20"/>
        </w:rPr>
        <w:t>ing</w:t>
      </w:r>
      <w:r w:rsidR="007B1800" w:rsidRPr="007B1800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 potential exposure for adolescents in states </w:t>
      </w:r>
      <w:r w:rsidR="007B1800" w:rsidRPr="007B1800">
        <w:rPr>
          <w:rFonts w:ascii="Times New Roman" w:eastAsiaTheme="minorHAnsi" w:hAnsi="Times New Roman" w:cs="Times New Roman"/>
          <w:color w:val="000000"/>
          <w:sz w:val="20"/>
          <w:szCs w:val="20"/>
        </w:rPr>
        <w:t>bordering</w:t>
      </w:r>
      <w:r w:rsidR="007B1800" w:rsidRPr="007B1800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 those implementing affirmative action</w:t>
      </w:r>
      <w:r w:rsidR="00A75F8F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 (in the years these bans were active)</w:t>
      </w:r>
      <w:bookmarkStart w:id="0" w:name="_GoBack"/>
      <w:bookmarkEnd w:id="0"/>
      <w:r w:rsidR="007B1800" w:rsidRPr="007B1800">
        <w:rPr>
          <w:rFonts w:ascii="Times New Roman" w:eastAsiaTheme="minorHAnsi" w:hAnsi="Times New Roman" w:cs="Times New Roman"/>
          <w:color w:val="000000"/>
          <w:sz w:val="20"/>
          <w:szCs w:val="20"/>
        </w:rPr>
        <w:t>.</w:t>
      </w:r>
      <w:r w:rsidR="007B1800">
        <w:rPr>
          <w:rFonts w:ascii="Helvetica" w:eastAsiaTheme="minorHAnsi" w:hAnsi="Helvetica" w:cs="Helvetica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Column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4 displays estimates from regression models in which we reclassify </w:t>
      </w:r>
      <w:r w:rsidRPr="00B514FF">
        <w:rPr>
          <w:rFonts w:ascii="Times New Roman" w:hAnsi="Times New Roman" w:cs="Times New Roman"/>
          <w:sz w:val="20"/>
          <w:szCs w:val="20"/>
        </w:rPr>
        <w:t>as unexposed adolescents living in Texas in 2003 and thereafter</w:t>
      </w:r>
      <w:r>
        <w:rPr>
          <w:rFonts w:ascii="Times New Roman" w:hAnsi="Times New Roman" w:cs="Times New Roman"/>
          <w:sz w:val="20"/>
          <w:szCs w:val="20"/>
        </w:rPr>
        <w:t xml:space="preserve">. Column 5 displays estimates from regression models fitted to data on respondents only living in </w:t>
      </w:r>
      <w:r w:rsidRPr="00A16A79">
        <w:rPr>
          <w:rFonts w:ascii="Times New Roman" w:hAnsi="Times New Roman" w:cs="Times New Roman"/>
          <w:sz w:val="20"/>
          <w:szCs w:val="20"/>
        </w:rPr>
        <w:t xml:space="preserve">states </w:t>
      </w:r>
      <w:r>
        <w:rPr>
          <w:rFonts w:ascii="Times New Roman" w:hAnsi="Times New Roman" w:cs="Times New Roman"/>
          <w:sz w:val="20"/>
          <w:szCs w:val="20"/>
        </w:rPr>
        <w:t xml:space="preserve">that </w:t>
      </w:r>
      <w:r w:rsidRPr="00A16A79">
        <w:rPr>
          <w:rFonts w:ascii="Times New Roman" w:hAnsi="Times New Roman" w:cs="Times New Roman"/>
          <w:sz w:val="20"/>
          <w:szCs w:val="20"/>
        </w:rPr>
        <w:t>pass</w:t>
      </w:r>
      <w:r>
        <w:rPr>
          <w:rFonts w:ascii="Times New Roman" w:hAnsi="Times New Roman" w:cs="Times New Roman"/>
          <w:sz w:val="20"/>
          <w:szCs w:val="20"/>
        </w:rPr>
        <w:t>ed an</w:t>
      </w:r>
      <w:r w:rsidR="0079115D" w:rsidRPr="0079115D">
        <w:rPr>
          <w:rFonts w:ascii="Times New Roman" w:hAnsi="Times New Roman" w:cs="Times New Roman"/>
          <w:sz w:val="20"/>
          <w:szCs w:val="20"/>
        </w:rPr>
        <w:t xml:space="preserve"> </w:t>
      </w:r>
      <w:r w:rsidR="0079115D" w:rsidRPr="00A16A79">
        <w:rPr>
          <w:rFonts w:ascii="Times New Roman" w:hAnsi="Times New Roman" w:cs="Times New Roman"/>
          <w:sz w:val="20"/>
          <w:szCs w:val="20"/>
        </w:rPr>
        <w:t>affirmative action ban</w:t>
      </w:r>
      <w:r w:rsidR="0079115D">
        <w:rPr>
          <w:rFonts w:ascii="Times New Roman" w:hAnsi="Times New Roman" w:cs="Times New Roman"/>
          <w:sz w:val="20"/>
          <w:szCs w:val="20"/>
        </w:rPr>
        <w:t xml:space="preserve"> at some point during the study period.</w:t>
      </w:r>
    </w:p>
    <w:sectPr w:rsidR="00CC123A" w:rsidRPr="007B1800" w:rsidSect="00AF7E4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E40"/>
    <w:rsid w:val="0000163A"/>
    <w:rsid w:val="00003D4A"/>
    <w:rsid w:val="00015431"/>
    <w:rsid w:val="00022E7E"/>
    <w:rsid w:val="00031709"/>
    <w:rsid w:val="00051029"/>
    <w:rsid w:val="00052468"/>
    <w:rsid w:val="00083E08"/>
    <w:rsid w:val="000E1BBF"/>
    <w:rsid w:val="000F05E7"/>
    <w:rsid w:val="00115307"/>
    <w:rsid w:val="00141D52"/>
    <w:rsid w:val="00177F60"/>
    <w:rsid w:val="001B6CFF"/>
    <w:rsid w:val="001D2AD2"/>
    <w:rsid w:val="001D62D5"/>
    <w:rsid w:val="00221560"/>
    <w:rsid w:val="00227091"/>
    <w:rsid w:val="00261D81"/>
    <w:rsid w:val="0029062A"/>
    <w:rsid w:val="002A0015"/>
    <w:rsid w:val="002A7B70"/>
    <w:rsid w:val="002B3885"/>
    <w:rsid w:val="002B4D0E"/>
    <w:rsid w:val="002C358F"/>
    <w:rsid w:val="002E19A9"/>
    <w:rsid w:val="00304746"/>
    <w:rsid w:val="00311F36"/>
    <w:rsid w:val="00372547"/>
    <w:rsid w:val="00377753"/>
    <w:rsid w:val="00382D3D"/>
    <w:rsid w:val="00384856"/>
    <w:rsid w:val="00392E8D"/>
    <w:rsid w:val="00394730"/>
    <w:rsid w:val="0039610B"/>
    <w:rsid w:val="003970C2"/>
    <w:rsid w:val="003B1D21"/>
    <w:rsid w:val="003B3792"/>
    <w:rsid w:val="003B6B4F"/>
    <w:rsid w:val="003E6A41"/>
    <w:rsid w:val="00440706"/>
    <w:rsid w:val="00446297"/>
    <w:rsid w:val="004538AE"/>
    <w:rsid w:val="0047056F"/>
    <w:rsid w:val="00494C0A"/>
    <w:rsid w:val="004C29D4"/>
    <w:rsid w:val="004E1D29"/>
    <w:rsid w:val="00516100"/>
    <w:rsid w:val="0051766E"/>
    <w:rsid w:val="005333B0"/>
    <w:rsid w:val="00543E9C"/>
    <w:rsid w:val="00576051"/>
    <w:rsid w:val="005C1F03"/>
    <w:rsid w:val="005C2752"/>
    <w:rsid w:val="005C7C72"/>
    <w:rsid w:val="005E2712"/>
    <w:rsid w:val="005E32B1"/>
    <w:rsid w:val="00600339"/>
    <w:rsid w:val="006108EB"/>
    <w:rsid w:val="006178CC"/>
    <w:rsid w:val="00670568"/>
    <w:rsid w:val="00680CA4"/>
    <w:rsid w:val="006B5BB8"/>
    <w:rsid w:val="006D3010"/>
    <w:rsid w:val="006D4BAE"/>
    <w:rsid w:val="006E03B2"/>
    <w:rsid w:val="006F60B2"/>
    <w:rsid w:val="007632D9"/>
    <w:rsid w:val="007816CA"/>
    <w:rsid w:val="0079115D"/>
    <w:rsid w:val="007A5D3F"/>
    <w:rsid w:val="007B07E2"/>
    <w:rsid w:val="007B1800"/>
    <w:rsid w:val="007C4B3D"/>
    <w:rsid w:val="007C7A7F"/>
    <w:rsid w:val="007F16CF"/>
    <w:rsid w:val="00825CED"/>
    <w:rsid w:val="00846890"/>
    <w:rsid w:val="00863F1C"/>
    <w:rsid w:val="00885805"/>
    <w:rsid w:val="008A5A59"/>
    <w:rsid w:val="008A7968"/>
    <w:rsid w:val="008C114B"/>
    <w:rsid w:val="008D09DE"/>
    <w:rsid w:val="00905F72"/>
    <w:rsid w:val="0094019B"/>
    <w:rsid w:val="0095002E"/>
    <w:rsid w:val="009501C2"/>
    <w:rsid w:val="00953D5F"/>
    <w:rsid w:val="0097245D"/>
    <w:rsid w:val="009A2E7F"/>
    <w:rsid w:val="009D0238"/>
    <w:rsid w:val="009D1708"/>
    <w:rsid w:val="00A310D7"/>
    <w:rsid w:val="00A41F62"/>
    <w:rsid w:val="00A47C76"/>
    <w:rsid w:val="00A730A4"/>
    <w:rsid w:val="00A746BE"/>
    <w:rsid w:val="00A75F8F"/>
    <w:rsid w:val="00AA145E"/>
    <w:rsid w:val="00AB2916"/>
    <w:rsid w:val="00AD23EB"/>
    <w:rsid w:val="00AD42E1"/>
    <w:rsid w:val="00AE78EE"/>
    <w:rsid w:val="00AF7E40"/>
    <w:rsid w:val="00B72E17"/>
    <w:rsid w:val="00B84CF6"/>
    <w:rsid w:val="00B850C7"/>
    <w:rsid w:val="00BB6C9F"/>
    <w:rsid w:val="00BC1475"/>
    <w:rsid w:val="00BE6581"/>
    <w:rsid w:val="00C23D13"/>
    <w:rsid w:val="00C501DD"/>
    <w:rsid w:val="00CB0EAE"/>
    <w:rsid w:val="00CC03D7"/>
    <w:rsid w:val="00CC123A"/>
    <w:rsid w:val="00CC4C27"/>
    <w:rsid w:val="00CD550E"/>
    <w:rsid w:val="00CD7CF7"/>
    <w:rsid w:val="00CE3A6D"/>
    <w:rsid w:val="00D01963"/>
    <w:rsid w:val="00D41C7C"/>
    <w:rsid w:val="00D57278"/>
    <w:rsid w:val="00D87F58"/>
    <w:rsid w:val="00DB634B"/>
    <w:rsid w:val="00DC5027"/>
    <w:rsid w:val="00DD3A3C"/>
    <w:rsid w:val="00DD6A98"/>
    <w:rsid w:val="00DE10A0"/>
    <w:rsid w:val="00DF5819"/>
    <w:rsid w:val="00E2626E"/>
    <w:rsid w:val="00E73427"/>
    <w:rsid w:val="00E8127A"/>
    <w:rsid w:val="00E85B14"/>
    <w:rsid w:val="00EA5FFD"/>
    <w:rsid w:val="00ED2DD2"/>
    <w:rsid w:val="00EE6DFC"/>
    <w:rsid w:val="00F04653"/>
    <w:rsid w:val="00F12265"/>
    <w:rsid w:val="00F40981"/>
    <w:rsid w:val="00F519DD"/>
    <w:rsid w:val="00F65A03"/>
    <w:rsid w:val="00F70BC5"/>
    <w:rsid w:val="00F76DAD"/>
    <w:rsid w:val="00FC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65960E"/>
  <w15:chartTrackingRefBased/>
  <w15:docId w15:val="{1F5414F7-CA43-5D40-A173-82A5DFD9B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Venkataramani, Atheendar</dc:creator>
  <cp:keywords/>
  <dc:description/>
  <cp:lastModifiedBy>Venkataramani, Atheendar</cp:lastModifiedBy>
  <cp:revision>5</cp:revision>
  <dcterms:created xsi:type="dcterms:W3CDTF">2019-05-30T11:50:00Z</dcterms:created>
  <dcterms:modified xsi:type="dcterms:W3CDTF">2019-05-30T16:10:00Z</dcterms:modified>
</cp:coreProperties>
</file>