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6160" w14:textId="795BB0DB" w:rsidR="001362E5" w:rsidRDefault="001362E5" w:rsidP="001362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S1 Table.</w:t>
      </w:r>
      <w:r w:rsidRPr="004320B1">
        <w:rPr>
          <w:rFonts w:ascii="Times New Roman" w:hAnsi="Times New Roman" w:cs="Times New Roman"/>
        </w:rPr>
        <w:t xml:space="preserve"> States </w:t>
      </w:r>
      <w:r>
        <w:rPr>
          <w:rFonts w:ascii="Times New Roman" w:hAnsi="Times New Roman" w:cs="Times New Roman"/>
        </w:rPr>
        <w:t>I</w:t>
      </w:r>
      <w:r w:rsidRPr="004320B1">
        <w:rPr>
          <w:rFonts w:ascii="Times New Roman" w:hAnsi="Times New Roman" w:cs="Times New Roman"/>
        </w:rPr>
        <w:t xml:space="preserve">mplementing </w:t>
      </w:r>
      <w:r>
        <w:rPr>
          <w:rFonts w:ascii="Times New Roman" w:hAnsi="Times New Roman" w:cs="Times New Roman"/>
        </w:rPr>
        <w:t xml:space="preserve">College </w:t>
      </w:r>
      <w:r w:rsidR="00B96A6C">
        <w:rPr>
          <w:rFonts w:ascii="Times New Roman" w:hAnsi="Times New Roman" w:cs="Times New Roman"/>
        </w:rPr>
        <w:t xml:space="preserve">Admission </w:t>
      </w:r>
      <w:bookmarkStart w:id="0" w:name="_GoBack"/>
      <w:bookmarkEnd w:id="0"/>
      <w:r>
        <w:rPr>
          <w:rFonts w:ascii="Times New Roman" w:hAnsi="Times New Roman" w:cs="Times New Roman"/>
        </w:rPr>
        <w:t>A</w:t>
      </w:r>
      <w:r w:rsidRPr="004320B1">
        <w:rPr>
          <w:rFonts w:ascii="Times New Roman" w:hAnsi="Times New Roman" w:cs="Times New Roman"/>
        </w:rPr>
        <w:t xml:space="preserve">ffirmative </w:t>
      </w:r>
      <w:r>
        <w:rPr>
          <w:rFonts w:ascii="Times New Roman" w:hAnsi="Times New Roman" w:cs="Times New Roman"/>
        </w:rPr>
        <w:t>A</w:t>
      </w:r>
      <w:r w:rsidRPr="004320B1">
        <w:rPr>
          <w:rFonts w:ascii="Times New Roman" w:hAnsi="Times New Roman" w:cs="Times New Roman"/>
        </w:rPr>
        <w:t xml:space="preserve">ction </w:t>
      </w:r>
      <w:r>
        <w:rPr>
          <w:rFonts w:ascii="Times New Roman" w:hAnsi="Times New Roman" w:cs="Times New Roman"/>
        </w:rPr>
        <w:t>B</w:t>
      </w:r>
      <w:r w:rsidRPr="004320B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ns During Study Period</w:t>
      </w:r>
    </w:p>
    <w:p w14:paraId="4C1D869A" w14:textId="77777777" w:rsidR="001362E5" w:rsidRDefault="001362E5" w:rsidP="001362E5">
      <w:pPr>
        <w:jc w:val="center"/>
        <w:outlineLvl w:val="0"/>
        <w:rPr>
          <w:rFonts w:ascii="Times New Roman" w:hAnsi="Times New Roman" w:cs="Times New Roman"/>
        </w:rPr>
      </w:pPr>
    </w:p>
    <w:tbl>
      <w:tblPr>
        <w:tblW w:w="10719" w:type="dxa"/>
        <w:tblInd w:w="-720" w:type="dxa"/>
        <w:tblLook w:val="04A0" w:firstRow="1" w:lastRow="0" w:firstColumn="1" w:lastColumn="0" w:noHBand="0" w:noVBand="1"/>
      </w:tblPr>
      <w:tblGrid>
        <w:gridCol w:w="1521"/>
        <w:gridCol w:w="1363"/>
        <w:gridCol w:w="4856"/>
        <w:gridCol w:w="2979"/>
      </w:tblGrid>
      <w:tr w:rsidR="001362E5" w:rsidRPr="00AB5B84" w14:paraId="56BFD2B3" w14:textId="77777777" w:rsidTr="001362E5">
        <w:trPr>
          <w:trHeight w:val="360"/>
        </w:trPr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19CFC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03D9F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Year Enacted</w:t>
            </w:r>
          </w:p>
        </w:tc>
        <w:tc>
          <w:tcPr>
            <w:tcW w:w="48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38E0F0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Source of Ban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1A51C5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D72D0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Vote/Judgement Date</w:t>
            </w:r>
          </w:p>
        </w:tc>
      </w:tr>
      <w:tr w:rsidR="001362E5" w:rsidRPr="00AB5B84" w14:paraId="1F46856E" w14:textId="77777777" w:rsidTr="001362E5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F898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Texas</w:t>
            </w: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9159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1997 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FCAAA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Court Ruling Hopwood v Texas; House Bill 588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EB299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7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March 18, 1996</w:t>
            </w:r>
          </w:p>
        </w:tc>
      </w:tr>
      <w:tr w:rsidR="001362E5" w:rsidRPr="00AB5B84" w14:paraId="12EE0E29" w14:textId="77777777" w:rsidTr="001362E5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98B60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California</w:t>
            </w: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C77B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78D8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Voter Initiative Prop 209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9FB64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7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November 5, 1996</w:t>
            </w:r>
          </w:p>
        </w:tc>
      </w:tr>
      <w:tr w:rsidR="001362E5" w:rsidRPr="00AB5B84" w14:paraId="144C85F5" w14:textId="77777777" w:rsidTr="001362E5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04D9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Washington</w:t>
            </w: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0DD63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9EFA9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Voter Initiative 200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1849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7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November 3, 1998</w:t>
            </w:r>
          </w:p>
        </w:tc>
      </w:tr>
      <w:tr w:rsidR="001362E5" w:rsidRPr="00AB5B84" w14:paraId="61A0BFAF" w14:textId="77777777" w:rsidTr="001362E5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CEE3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Florida</w:t>
            </w: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CADDB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6B121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Executive Order 99-281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62185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7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November 9, 1999</w:t>
            </w:r>
          </w:p>
        </w:tc>
      </w:tr>
      <w:tr w:rsidR="001362E5" w:rsidRPr="00AB5B84" w14:paraId="5402C6DD" w14:textId="77777777" w:rsidTr="001362E5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68AA4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Michigan</w:t>
            </w: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AF44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D7694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Voter Initiative Prop 2 (Civil Rights Amendment)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AF26C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7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November 7, 2006 </w:t>
            </w:r>
          </w:p>
        </w:tc>
      </w:tr>
      <w:tr w:rsidR="001362E5" w:rsidRPr="00AB5B84" w14:paraId="7CD4BEDE" w14:textId="77777777" w:rsidTr="001362E5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3FDE1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Nebraska</w:t>
            </w: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F624E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AFB56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Measure 424 (Civil Rights Initiative 424)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90A80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7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November 4, 2008</w:t>
            </w:r>
          </w:p>
        </w:tc>
      </w:tr>
      <w:tr w:rsidR="001362E5" w:rsidRPr="00AB5B84" w14:paraId="76EB27FC" w14:textId="77777777" w:rsidTr="001362E5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39D9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Arizona</w:t>
            </w: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DC3A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B5EDB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Voter Initiative Prop 107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2E3D4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7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November 2, 2010 </w:t>
            </w:r>
          </w:p>
        </w:tc>
      </w:tr>
      <w:tr w:rsidR="001362E5" w:rsidRPr="00AB5B84" w14:paraId="7F91441B" w14:textId="77777777" w:rsidTr="001362E5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E4EF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Hampshire</w:t>
            </w: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7E5E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C91F3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Legislative Act HB 623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DACA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June 29, 2011</w:t>
            </w:r>
          </w:p>
        </w:tc>
      </w:tr>
      <w:tr w:rsidR="001362E5" w:rsidRPr="00AB5B84" w14:paraId="651F0EA5" w14:textId="77777777" w:rsidTr="001362E5">
        <w:trPr>
          <w:trHeight w:val="360"/>
        </w:trPr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EEC004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Oklahoma</w:t>
            </w:r>
            <w:r w:rsidRPr="00130E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904D7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B661A" w14:textId="77777777" w:rsidR="001362E5" w:rsidRPr="00C51AA8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C51A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Voter Initiative State Question 759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98D48D" w14:textId="77777777" w:rsidR="001362E5" w:rsidRPr="00130E2A" w:rsidRDefault="001362E5" w:rsidP="007453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D72D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November 6, 2012 </w:t>
            </w:r>
          </w:p>
        </w:tc>
      </w:tr>
    </w:tbl>
    <w:p w14:paraId="7381BF95" w14:textId="77777777" w:rsidR="001362E5" w:rsidRDefault="001362E5" w:rsidP="001362E5">
      <w:pPr>
        <w:jc w:val="center"/>
        <w:outlineLvl w:val="0"/>
        <w:rPr>
          <w:rFonts w:ascii="Times New Roman" w:hAnsi="Times New Roman" w:cs="Times New Roman"/>
        </w:rPr>
      </w:pPr>
    </w:p>
    <w:p w14:paraId="539FA9B2" w14:textId="77777777" w:rsidR="001362E5" w:rsidRDefault="001362E5" w:rsidP="001362E5">
      <w:pPr>
        <w:rPr>
          <w:rFonts w:ascii="Times New Roman" w:hAnsi="Times New Roman" w:cs="Times New Roman"/>
          <w:sz w:val="20"/>
          <w:szCs w:val="20"/>
        </w:rPr>
      </w:pPr>
      <w:r w:rsidRPr="001D6C07">
        <w:rPr>
          <w:rFonts w:ascii="Times New Roman" w:hAnsi="Times New Roman" w:cs="Times New Roman"/>
          <w:b/>
          <w:bCs/>
          <w:sz w:val="20"/>
          <w:szCs w:val="20"/>
        </w:rPr>
        <w:t xml:space="preserve">Notes: </w:t>
      </w:r>
      <w:r w:rsidRPr="001D6C07">
        <w:rPr>
          <w:rFonts w:ascii="Times New Roman" w:hAnsi="Times New Roman" w:cs="Times New Roman"/>
          <w:sz w:val="20"/>
          <w:szCs w:val="20"/>
        </w:rPr>
        <w:t>This table identifies the states that implemented affirmative action bans during the study period (1991-2015), along with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6C07">
        <w:rPr>
          <w:rFonts w:ascii="Times New Roman" w:hAnsi="Times New Roman" w:cs="Times New Roman"/>
          <w:sz w:val="20"/>
          <w:szCs w:val="20"/>
        </w:rPr>
        <w:t xml:space="preserve">year of </w:t>
      </w:r>
      <w:r>
        <w:rPr>
          <w:rFonts w:ascii="Times New Roman" w:hAnsi="Times New Roman" w:cs="Times New Roman"/>
          <w:sz w:val="20"/>
          <w:szCs w:val="20"/>
        </w:rPr>
        <w:t>enactment/</w:t>
      </w:r>
      <w:r w:rsidRPr="001D6C07">
        <w:rPr>
          <w:rFonts w:ascii="Times New Roman" w:hAnsi="Times New Roman" w:cs="Times New Roman"/>
          <w:sz w:val="20"/>
          <w:szCs w:val="20"/>
        </w:rPr>
        <w:t xml:space="preserve">implementation and the legislative or legal instrument used to pass and implement the ban. To build this database, we first </w:t>
      </w:r>
      <w:r>
        <w:rPr>
          <w:rFonts w:ascii="Times New Roman" w:hAnsi="Times New Roman" w:cs="Times New Roman"/>
          <w:sz w:val="20"/>
          <w:szCs w:val="20"/>
        </w:rPr>
        <w:t xml:space="preserve">reviewed </w:t>
      </w:r>
      <w:r w:rsidRPr="001D6C07">
        <w:rPr>
          <w:rFonts w:ascii="Times New Roman" w:hAnsi="Times New Roman" w:cs="Times New Roman"/>
          <w:sz w:val="20"/>
          <w:szCs w:val="20"/>
        </w:rPr>
        <w:t xml:space="preserve">published studies </w:t>
      </w:r>
      <w:r w:rsidRPr="0062315D">
        <w:rPr>
          <w:rFonts w:ascii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hAnsi="Times New Roman" w:cs="Times New Roman"/>
          <w:sz w:val="20"/>
          <w:szCs w:val="20"/>
        </w:rPr>
        <w:t xml:space="preserve">the socioeconomic impacts of </w:t>
      </w:r>
      <w:r w:rsidRPr="0062315D">
        <w:rPr>
          <w:rFonts w:ascii="Times New Roman" w:hAnsi="Times New Roman" w:cs="Times New Roman"/>
          <w:sz w:val="20"/>
          <w:szCs w:val="20"/>
        </w:rPr>
        <w:t>affirmative action bans</w:t>
      </w:r>
      <w:r w:rsidRPr="001D6C07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1D6C07">
        <w:rPr>
          <w:rFonts w:ascii="Times New Roman" w:hAnsi="Times New Roman" w:cs="Times New Roman"/>
          <w:sz w:val="20"/>
          <w:szCs w:val="20"/>
        </w:rPr>
        <w:t>e verified (and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6C07">
        <w:rPr>
          <w:rFonts w:ascii="Times New Roman" w:hAnsi="Times New Roman" w:cs="Times New Roman"/>
          <w:sz w:val="20"/>
          <w:szCs w:val="20"/>
        </w:rPr>
        <w:t>corrected</w:t>
      </w:r>
      <w:r>
        <w:rPr>
          <w:rFonts w:ascii="Times New Roman" w:hAnsi="Times New Roman" w:cs="Times New Roman"/>
          <w:sz w:val="20"/>
          <w:szCs w:val="20"/>
        </w:rPr>
        <w:t>, if needed</w:t>
      </w:r>
      <w:r w:rsidRPr="001D6C07">
        <w:rPr>
          <w:rFonts w:ascii="Times New Roman" w:hAnsi="Times New Roman" w:cs="Times New Roman"/>
          <w:sz w:val="20"/>
          <w:szCs w:val="20"/>
        </w:rPr>
        <w:t xml:space="preserve">) the dates mentioned in these studies </w:t>
      </w:r>
      <w:r>
        <w:rPr>
          <w:rFonts w:ascii="Times New Roman" w:hAnsi="Times New Roman" w:cs="Times New Roman"/>
          <w:sz w:val="20"/>
          <w:szCs w:val="20"/>
        </w:rPr>
        <w:t>by cross-referencing</w:t>
      </w:r>
      <w:r w:rsidRPr="001D6C07">
        <w:rPr>
          <w:rFonts w:ascii="Times New Roman" w:hAnsi="Times New Roman" w:cs="Times New Roman"/>
          <w:sz w:val="20"/>
          <w:szCs w:val="20"/>
        </w:rPr>
        <w:t xml:space="preserve"> the Westlaw database and </w:t>
      </w:r>
      <w:r>
        <w:rPr>
          <w:rFonts w:ascii="Times New Roman" w:hAnsi="Times New Roman" w:cs="Times New Roman"/>
          <w:sz w:val="20"/>
          <w:szCs w:val="20"/>
        </w:rPr>
        <w:t>by using</w:t>
      </w:r>
      <w:r w:rsidRPr="001D6C07">
        <w:rPr>
          <w:rFonts w:ascii="Times New Roman" w:hAnsi="Times New Roman" w:cs="Times New Roman"/>
          <w:sz w:val="20"/>
          <w:szCs w:val="20"/>
        </w:rPr>
        <w:t xml:space="preserve"> directed Google searches. We then searched these same databases for implemented affirmative action bans in other states.</w:t>
      </w:r>
      <w:r>
        <w:rPr>
          <w:rFonts w:ascii="Times New Roman" w:hAnsi="Times New Roman" w:cs="Times New Roman"/>
          <w:sz w:val="20"/>
          <w:szCs w:val="20"/>
        </w:rPr>
        <w:t xml:space="preserve"> With the exception of Texas, where some – but not all – colleges and universities reinstituted affirmative action programs after a favorable court decision in 2003, all of the state-level bans listed here remain in force. </w:t>
      </w:r>
    </w:p>
    <w:p w14:paraId="2F3DE12A" w14:textId="77777777" w:rsidR="001362E5" w:rsidRDefault="001362E5" w:rsidP="001362E5">
      <w:pPr>
        <w:rPr>
          <w:rFonts w:ascii="Times New Roman" w:hAnsi="Times New Roman" w:cs="Times New Roman"/>
          <w:sz w:val="20"/>
          <w:szCs w:val="20"/>
        </w:rPr>
      </w:pPr>
    </w:p>
    <w:p w14:paraId="73F3D761" w14:textId="77777777" w:rsidR="001362E5" w:rsidRDefault="001362E5" w:rsidP="001362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AB5B84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823823">
          <w:rPr>
            <w:rStyle w:val="Hyperlink"/>
            <w:rFonts w:ascii="Times New Roman" w:hAnsi="Times New Roman" w:cs="Times New Roman"/>
            <w:sz w:val="20"/>
            <w:szCs w:val="20"/>
          </w:rPr>
          <w:t>http://caselaw.findlaw.com/us-5th-circuit/1222335.html</w:t>
        </w:r>
      </w:hyperlink>
    </w:p>
    <w:p w14:paraId="6C9A9D3F" w14:textId="77777777" w:rsidR="001362E5" w:rsidRDefault="001362E5" w:rsidP="001362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 </w:t>
      </w:r>
      <w:hyperlink r:id="rId7" w:history="1">
        <w:r w:rsidRPr="00823823">
          <w:rPr>
            <w:rStyle w:val="Hyperlink"/>
            <w:rFonts w:ascii="Times New Roman" w:hAnsi="Times New Roman" w:cs="Times New Roman"/>
            <w:sz w:val="20"/>
            <w:szCs w:val="20"/>
          </w:rPr>
          <w:t>http://elections.cdn.sos.ca.gov/sov/1996-general/sov-complete.pdf</w:t>
        </w:r>
      </w:hyperlink>
    </w:p>
    <w:p w14:paraId="028F6138" w14:textId="77777777" w:rsidR="001362E5" w:rsidRDefault="001362E5" w:rsidP="001362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 </w:t>
      </w:r>
      <w:hyperlink r:id="rId8" w:history="1">
        <w:r w:rsidRPr="00823823">
          <w:rPr>
            <w:rStyle w:val="Hyperlink"/>
            <w:rFonts w:ascii="Times New Roman" w:hAnsi="Times New Roman" w:cs="Times New Roman"/>
            <w:sz w:val="20"/>
            <w:szCs w:val="20"/>
          </w:rPr>
          <w:t>https://www.sos.wa.gov//elections/initiatives/statistics_initleg.aspx</w:t>
        </w:r>
      </w:hyperlink>
    </w:p>
    <w:p w14:paraId="5191410A" w14:textId="77777777" w:rsidR="001362E5" w:rsidRPr="001D6C07" w:rsidRDefault="001362E5" w:rsidP="001362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D6C07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1B78DF">
          <w:rPr>
            <w:rStyle w:val="Hyperlink"/>
            <w:rFonts w:ascii="Times New Roman" w:hAnsi="Times New Roman" w:cs="Times New Roman"/>
            <w:sz w:val="20"/>
            <w:szCs w:val="20"/>
          </w:rPr>
          <w:t>http://caselaw.findlaw.com/us-5th-circuit/1222335.html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6C0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78F01B" w14:textId="77777777" w:rsidR="001362E5" w:rsidRDefault="001362E5" w:rsidP="001362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</w:t>
      </w:r>
      <w:hyperlink r:id="rId10" w:history="1">
        <w:r w:rsidRPr="00823823">
          <w:rPr>
            <w:rStyle w:val="Hyperlink"/>
            <w:rFonts w:ascii="Times New Roman" w:hAnsi="Times New Roman" w:cs="Times New Roman"/>
            <w:sz w:val="20"/>
            <w:szCs w:val="20"/>
          </w:rPr>
          <w:t>http://miboecfr.nictusa.com/election/results/06GEN/</w:t>
        </w:r>
      </w:hyperlink>
    </w:p>
    <w:p w14:paraId="56A013A0" w14:textId="77777777" w:rsidR="001362E5" w:rsidRDefault="001362E5" w:rsidP="001362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 </w:t>
      </w:r>
      <w:hyperlink r:id="rId11" w:history="1">
        <w:r w:rsidRPr="00823823">
          <w:rPr>
            <w:rStyle w:val="Hyperlink"/>
            <w:rFonts w:ascii="Times New Roman" w:hAnsi="Times New Roman" w:cs="Times New Roman"/>
            <w:sz w:val="20"/>
            <w:szCs w:val="20"/>
          </w:rPr>
          <w:t>https://web.archive.org/web/20150316183737/http://nebraskalegislature.gov/pdf/bluebook/245-274.pdf</w:t>
        </w:r>
      </w:hyperlink>
    </w:p>
    <w:p w14:paraId="561DB678" w14:textId="77777777" w:rsidR="001362E5" w:rsidRDefault="001362E5" w:rsidP="001362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</w:t>
      </w:r>
      <w:hyperlink r:id="rId12" w:history="1">
        <w:r w:rsidRPr="00823823">
          <w:rPr>
            <w:rStyle w:val="Hyperlink"/>
            <w:rFonts w:ascii="Times New Roman" w:hAnsi="Times New Roman" w:cs="Times New Roman"/>
            <w:sz w:val="20"/>
            <w:szCs w:val="20"/>
          </w:rPr>
          <w:t>http://apps.azsos.gov/election/2010/General/Canvass2010GE.pdf</w:t>
        </w:r>
      </w:hyperlink>
    </w:p>
    <w:p w14:paraId="4CEDEF29" w14:textId="77777777" w:rsidR="001362E5" w:rsidRDefault="001362E5" w:rsidP="001362E5">
      <w:pPr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</w:t>
      </w:r>
      <w:hyperlink r:id="rId13" w:history="1">
        <w:r w:rsidRPr="00C5651A">
          <w:rPr>
            <w:rStyle w:val="Hyperlink"/>
            <w:rFonts w:ascii="Times New Roman" w:hAnsi="Times New Roman" w:cs="Times New Roman"/>
            <w:sz w:val="20"/>
            <w:szCs w:val="20"/>
          </w:rPr>
          <w:t>https://legiscan.com/NH/text/HB623/id/137991</w:t>
        </w:r>
      </w:hyperlink>
    </w:p>
    <w:p w14:paraId="5EFCE25E" w14:textId="77777777" w:rsidR="001362E5" w:rsidRPr="001D6C07" w:rsidRDefault="001362E5" w:rsidP="001362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 </w:t>
      </w:r>
      <w:hyperlink r:id="rId14" w:history="1">
        <w:r w:rsidRPr="001B78DF">
          <w:rPr>
            <w:rStyle w:val="Hyperlink"/>
            <w:rFonts w:ascii="Times New Roman" w:hAnsi="Times New Roman" w:cs="Times New Roman"/>
            <w:sz w:val="20"/>
            <w:szCs w:val="20"/>
          </w:rPr>
          <w:t>https://www.ok.gov/elections/support/12gen_seb.html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6850E43" w14:textId="0B7E2C72" w:rsidR="001362E5" w:rsidRDefault="001362E5" w:rsidP="001362E5">
      <w:pPr>
        <w:rPr>
          <w:rFonts w:ascii="Times New Roman" w:hAnsi="Times New Roman" w:cs="Times New Roman"/>
          <w:b/>
        </w:rPr>
        <w:sectPr w:rsidR="001362E5" w:rsidSect="00A310D7">
          <w:footerReference w:type="even" r:id="rId15"/>
          <w:footerReference w:type="defaul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DCFD58" w14:textId="77777777" w:rsidR="00CC123A" w:rsidRDefault="00CC123A"/>
    <w:sectPr w:rsidR="00CC123A" w:rsidSect="001362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43965" w14:textId="77777777" w:rsidR="007C1855" w:rsidRDefault="007C1855">
      <w:r>
        <w:separator/>
      </w:r>
    </w:p>
  </w:endnote>
  <w:endnote w:type="continuationSeparator" w:id="0">
    <w:p w14:paraId="259B0185" w14:textId="77777777" w:rsidR="007C1855" w:rsidRDefault="007C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94974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80D936" w14:textId="77777777" w:rsidR="003A5BA7" w:rsidRDefault="001362E5" w:rsidP="00B679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19C149" w14:textId="77777777" w:rsidR="003A5BA7" w:rsidRDefault="007C1855" w:rsidP="000B5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9876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E63549" w14:textId="77777777" w:rsidR="003A5BA7" w:rsidRDefault="001362E5" w:rsidP="00B679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96E5E5" w14:textId="77777777" w:rsidR="003A5BA7" w:rsidRDefault="007C1855" w:rsidP="000B5B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1A9AB" w14:textId="77777777" w:rsidR="007C1855" w:rsidRDefault="007C1855">
      <w:r>
        <w:separator/>
      </w:r>
    </w:p>
  </w:footnote>
  <w:footnote w:type="continuationSeparator" w:id="0">
    <w:p w14:paraId="4BC631C0" w14:textId="77777777" w:rsidR="007C1855" w:rsidRDefault="007C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E5"/>
    <w:rsid w:val="0000163A"/>
    <w:rsid w:val="00003D4A"/>
    <w:rsid w:val="00015431"/>
    <w:rsid w:val="00022E7E"/>
    <w:rsid w:val="00031709"/>
    <w:rsid w:val="00051029"/>
    <w:rsid w:val="00052468"/>
    <w:rsid w:val="00083E08"/>
    <w:rsid w:val="000E1BBF"/>
    <w:rsid w:val="000F05E7"/>
    <w:rsid w:val="00115307"/>
    <w:rsid w:val="001362E5"/>
    <w:rsid w:val="00141D52"/>
    <w:rsid w:val="00177F60"/>
    <w:rsid w:val="001B6CFF"/>
    <w:rsid w:val="001D2AD2"/>
    <w:rsid w:val="001D62D5"/>
    <w:rsid w:val="00221560"/>
    <w:rsid w:val="00227091"/>
    <w:rsid w:val="00261D81"/>
    <w:rsid w:val="0029062A"/>
    <w:rsid w:val="002A0015"/>
    <w:rsid w:val="002A7B70"/>
    <w:rsid w:val="002B3885"/>
    <w:rsid w:val="002B4D0E"/>
    <w:rsid w:val="002C358F"/>
    <w:rsid w:val="002E19A9"/>
    <w:rsid w:val="00304746"/>
    <w:rsid w:val="00311F36"/>
    <w:rsid w:val="00372547"/>
    <w:rsid w:val="00377753"/>
    <w:rsid w:val="00382D3D"/>
    <w:rsid w:val="00384856"/>
    <w:rsid w:val="00392E8D"/>
    <w:rsid w:val="00394730"/>
    <w:rsid w:val="0039610B"/>
    <w:rsid w:val="003970C2"/>
    <w:rsid w:val="003B1D21"/>
    <w:rsid w:val="003B3792"/>
    <w:rsid w:val="003B6B4F"/>
    <w:rsid w:val="003E6A41"/>
    <w:rsid w:val="00440706"/>
    <w:rsid w:val="00446297"/>
    <w:rsid w:val="004538AE"/>
    <w:rsid w:val="0047056F"/>
    <w:rsid w:val="00494C0A"/>
    <w:rsid w:val="004C29D4"/>
    <w:rsid w:val="004E1D29"/>
    <w:rsid w:val="00516100"/>
    <w:rsid w:val="0051766E"/>
    <w:rsid w:val="005333B0"/>
    <w:rsid w:val="00543E9C"/>
    <w:rsid w:val="00576051"/>
    <w:rsid w:val="005C1F03"/>
    <w:rsid w:val="005C2752"/>
    <w:rsid w:val="005C7C72"/>
    <w:rsid w:val="005E2712"/>
    <w:rsid w:val="005E32B1"/>
    <w:rsid w:val="00600339"/>
    <w:rsid w:val="006108EB"/>
    <w:rsid w:val="006178CC"/>
    <w:rsid w:val="00670568"/>
    <w:rsid w:val="00680CA4"/>
    <w:rsid w:val="006B5BB8"/>
    <w:rsid w:val="006D3010"/>
    <w:rsid w:val="006D4BAE"/>
    <w:rsid w:val="006E03B2"/>
    <w:rsid w:val="006F60B2"/>
    <w:rsid w:val="007632D9"/>
    <w:rsid w:val="007A5D3F"/>
    <w:rsid w:val="007B07E2"/>
    <w:rsid w:val="007C1855"/>
    <w:rsid w:val="007C4B3D"/>
    <w:rsid w:val="007C7A7F"/>
    <w:rsid w:val="007F16CF"/>
    <w:rsid w:val="00825CED"/>
    <w:rsid w:val="00846890"/>
    <w:rsid w:val="00863F1C"/>
    <w:rsid w:val="00885805"/>
    <w:rsid w:val="008A5A59"/>
    <w:rsid w:val="008A7968"/>
    <w:rsid w:val="008C114B"/>
    <w:rsid w:val="008D09DE"/>
    <w:rsid w:val="00905F72"/>
    <w:rsid w:val="0094019B"/>
    <w:rsid w:val="0095002E"/>
    <w:rsid w:val="009501C2"/>
    <w:rsid w:val="00953D5F"/>
    <w:rsid w:val="0097245D"/>
    <w:rsid w:val="009A2E7F"/>
    <w:rsid w:val="009D0238"/>
    <w:rsid w:val="009D1708"/>
    <w:rsid w:val="00A310D7"/>
    <w:rsid w:val="00A41F62"/>
    <w:rsid w:val="00A47C76"/>
    <w:rsid w:val="00A730A4"/>
    <w:rsid w:val="00A746BE"/>
    <w:rsid w:val="00AA145E"/>
    <w:rsid w:val="00AB2916"/>
    <w:rsid w:val="00AD23EB"/>
    <w:rsid w:val="00AD42E1"/>
    <w:rsid w:val="00AE78EE"/>
    <w:rsid w:val="00B72E17"/>
    <w:rsid w:val="00B84CF6"/>
    <w:rsid w:val="00B850C7"/>
    <w:rsid w:val="00B96A6C"/>
    <w:rsid w:val="00BB6C9F"/>
    <w:rsid w:val="00BE6581"/>
    <w:rsid w:val="00C23D13"/>
    <w:rsid w:val="00C501DD"/>
    <w:rsid w:val="00CB0EAE"/>
    <w:rsid w:val="00CC03D7"/>
    <w:rsid w:val="00CC123A"/>
    <w:rsid w:val="00CC4C27"/>
    <w:rsid w:val="00CD550E"/>
    <w:rsid w:val="00CD7CF7"/>
    <w:rsid w:val="00CE3A6D"/>
    <w:rsid w:val="00D01963"/>
    <w:rsid w:val="00D41C7C"/>
    <w:rsid w:val="00D57278"/>
    <w:rsid w:val="00D87F58"/>
    <w:rsid w:val="00DB634B"/>
    <w:rsid w:val="00DC5027"/>
    <w:rsid w:val="00DD3A3C"/>
    <w:rsid w:val="00DD6A98"/>
    <w:rsid w:val="00DE10A0"/>
    <w:rsid w:val="00DF5819"/>
    <w:rsid w:val="00E2626E"/>
    <w:rsid w:val="00E73427"/>
    <w:rsid w:val="00E8127A"/>
    <w:rsid w:val="00E85B14"/>
    <w:rsid w:val="00EA5FFD"/>
    <w:rsid w:val="00ED2DD2"/>
    <w:rsid w:val="00EE6DFC"/>
    <w:rsid w:val="00F04653"/>
    <w:rsid w:val="00F12265"/>
    <w:rsid w:val="00F40981"/>
    <w:rsid w:val="00F519DD"/>
    <w:rsid w:val="00F65A03"/>
    <w:rsid w:val="00F70BC5"/>
    <w:rsid w:val="00F76DAD"/>
    <w:rsid w:val="00FC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12039"/>
  <w15:chartTrackingRefBased/>
  <w15:docId w15:val="{48A95A91-50F4-C14E-83FC-BA3582F5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6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E5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362E5"/>
  </w:style>
  <w:style w:type="character" w:styleId="Hyperlink">
    <w:name w:val="Hyperlink"/>
    <w:basedOn w:val="DefaultParagraphFont"/>
    <w:uiPriority w:val="99"/>
    <w:unhideWhenUsed/>
    <w:rsid w:val="00136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s.wa.gov//elections/initiatives/statistics_initleg.aspx" TargetMode="External"/><Relationship Id="rId13" Type="http://schemas.openxmlformats.org/officeDocument/2006/relationships/hyperlink" Target="https://legiscan.com/NH/text/HB623/id/13799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lections.cdn.sos.ca.gov/sov/1996-general/sov-complete.pdf" TargetMode="External"/><Relationship Id="rId12" Type="http://schemas.openxmlformats.org/officeDocument/2006/relationships/hyperlink" Target="http://apps.azsos.gov/election/2010/General/Canvass2010GE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caselaw.findlaw.com/us-5th-circuit/1222335.html" TargetMode="External"/><Relationship Id="rId11" Type="http://schemas.openxmlformats.org/officeDocument/2006/relationships/hyperlink" Target="https://web.archive.org/web/20150316183737/http://nebraskalegislature.gov/pdf/bluebook/245-274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miboecfr.nictusa.com/election/results/06G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aselaw.findlaw.com/us-5th-circuit/1222335.html" TargetMode="External"/><Relationship Id="rId14" Type="http://schemas.openxmlformats.org/officeDocument/2006/relationships/hyperlink" Target="https://www.ok.gov/elections/support/12gen_se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Venkataramani, Atheendar</dc:creator>
  <cp:keywords/>
  <dc:description/>
  <cp:lastModifiedBy>Venkataramani, Atheendar</cp:lastModifiedBy>
  <cp:revision>2</cp:revision>
  <dcterms:created xsi:type="dcterms:W3CDTF">2019-05-22T01:38:00Z</dcterms:created>
  <dcterms:modified xsi:type="dcterms:W3CDTF">2019-05-22T01:38:00Z</dcterms:modified>
</cp:coreProperties>
</file>