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8EF" w:rsidRPr="006A68EF" w:rsidRDefault="006A68EF" w:rsidP="006A68EF">
      <w:pPr>
        <w:tabs>
          <w:tab w:val="num" w:pos="0"/>
        </w:tabs>
        <w:spacing w:before="200" w:after="0" w:line="276" w:lineRule="auto"/>
        <w:contextualSpacing/>
        <w:rPr>
          <w:rFonts w:ascii="Arial" w:eastAsia="Calibri" w:hAnsi="Arial" w:cs="Arial"/>
          <w:b/>
          <w:bCs/>
          <w:sz w:val="20"/>
          <w:szCs w:val="16"/>
          <w:lang w:val="en-AU"/>
        </w:rPr>
      </w:pPr>
      <w:r>
        <w:rPr>
          <w:rFonts w:ascii="Arial" w:eastAsia="Calibri" w:hAnsi="Arial" w:cs="Arial"/>
          <w:b/>
          <w:bCs/>
          <w:sz w:val="20"/>
          <w:szCs w:val="16"/>
          <w:lang w:val="en-AU"/>
        </w:rPr>
        <w:t>S3 Table.</w:t>
      </w:r>
      <w:r w:rsidRPr="006A68EF">
        <w:rPr>
          <w:rFonts w:ascii="Arial" w:eastAsia="Calibri" w:hAnsi="Arial" w:cs="Arial"/>
          <w:b/>
          <w:bCs/>
          <w:sz w:val="20"/>
          <w:szCs w:val="16"/>
          <w:lang w:val="en-AU"/>
        </w:rPr>
        <w:t xml:space="preserve"> Secondary outcomes for the children</w:t>
      </w:r>
    </w:p>
    <w:tbl>
      <w:tblPr>
        <w:tblW w:w="5571" w:type="pct"/>
        <w:tblInd w:w="-1067" w:type="dxa"/>
        <w:tblLayout w:type="fixed"/>
        <w:tblCellMar>
          <w:left w:w="0" w:type="dxa"/>
          <w:right w:w="0" w:type="dxa"/>
        </w:tblCellMar>
        <w:tblLook w:val="0000" w:firstRow="0" w:lastRow="0" w:firstColumn="0" w:lastColumn="0" w:noHBand="0" w:noVBand="0"/>
      </w:tblPr>
      <w:tblGrid>
        <w:gridCol w:w="2100"/>
        <w:gridCol w:w="799"/>
        <w:gridCol w:w="1991"/>
        <w:gridCol w:w="1955"/>
        <w:gridCol w:w="1122"/>
        <w:gridCol w:w="1259"/>
        <w:gridCol w:w="831"/>
      </w:tblGrid>
      <w:tr w:rsidR="006A68EF" w:rsidRPr="006A68EF" w:rsidTr="00B40223">
        <w:trPr>
          <w:cantSplit/>
          <w:tblHeader/>
        </w:trPr>
        <w:tc>
          <w:tcPr>
            <w:tcW w:w="1044" w:type="pct"/>
            <w:tcBorders>
              <w:top w:val="single" w:sz="4" w:space="0" w:color="auto"/>
              <w:bottom w:val="single" w:sz="4" w:space="0" w:color="auto"/>
            </w:tcBorders>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iCs/>
                <w:color w:val="000000"/>
                <w:sz w:val="20"/>
                <w:szCs w:val="20"/>
                <w:lang w:val="en-AU"/>
              </w:rPr>
            </w:pPr>
            <w:r w:rsidRPr="006A68EF">
              <w:rPr>
                <w:rFonts w:ascii="Arial" w:eastAsia="Calibri" w:hAnsi="Arial" w:cs="Arial"/>
                <w:iCs/>
                <w:color w:val="000000"/>
                <w:sz w:val="20"/>
                <w:szCs w:val="20"/>
                <w:lang w:val="en-AU"/>
              </w:rPr>
              <w:t>Outcome</w:t>
            </w:r>
          </w:p>
        </w:tc>
        <w:tc>
          <w:tcPr>
            <w:tcW w:w="397" w:type="pct"/>
            <w:tcBorders>
              <w:top w:val="single" w:sz="4" w:space="0" w:color="auto"/>
              <w:bottom w:val="single" w:sz="4" w:space="0" w:color="auto"/>
            </w:tcBorders>
            <w:shd w:val="clear" w:color="auto" w:fill="FFFFFF"/>
            <w:vAlign w:val="center"/>
          </w:tcPr>
          <w:p w:rsidR="006A68EF" w:rsidRPr="006A68EF" w:rsidRDefault="006A68EF" w:rsidP="006A68EF">
            <w:pPr>
              <w:tabs>
                <w:tab w:val="num" w:pos="0"/>
              </w:tabs>
              <w:spacing w:before="200" w:after="0" w:line="276" w:lineRule="auto"/>
              <w:contextualSpacing/>
              <w:jc w:val="center"/>
              <w:rPr>
                <w:rFonts w:ascii="Arial" w:eastAsia="Calibri" w:hAnsi="Arial" w:cs="Arial"/>
                <w:iCs/>
                <w:color w:val="000000"/>
                <w:sz w:val="20"/>
                <w:szCs w:val="20"/>
                <w:lang w:val="en-AU"/>
              </w:rPr>
            </w:pPr>
            <w:r w:rsidRPr="006A68EF">
              <w:rPr>
                <w:rFonts w:ascii="Arial" w:eastAsia="Calibri" w:hAnsi="Arial" w:cs="Arial"/>
                <w:iCs/>
                <w:color w:val="000000"/>
                <w:sz w:val="20"/>
                <w:szCs w:val="20"/>
                <w:lang w:val="en-AU"/>
              </w:rPr>
              <w:t>N Trials</w:t>
            </w:r>
          </w:p>
        </w:tc>
        <w:tc>
          <w:tcPr>
            <w:tcW w:w="990" w:type="pct"/>
            <w:tcBorders>
              <w:top w:val="single" w:sz="4" w:space="0" w:color="auto"/>
              <w:bottom w:val="single" w:sz="4" w:space="0" w:color="auto"/>
            </w:tcBorders>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iCs/>
                <w:color w:val="000000"/>
                <w:sz w:val="20"/>
                <w:szCs w:val="20"/>
                <w:lang w:val="en-AU"/>
              </w:rPr>
            </w:pPr>
            <w:r w:rsidRPr="006A68EF">
              <w:rPr>
                <w:rFonts w:ascii="Arial" w:eastAsia="Calibri" w:hAnsi="Arial" w:cs="Arial"/>
                <w:iCs/>
                <w:color w:val="000000"/>
                <w:sz w:val="20"/>
                <w:szCs w:val="20"/>
                <w:lang w:val="en-AU"/>
              </w:rPr>
              <w:t xml:space="preserve">Repeat </w:t>
            </w:r>
          </w:p>
          <w:p w:rsidR="006A68EF" w:rsidRPr="006A68EF" w:rsidRDefault="006A68EF" w:rsidP="006A68EF">
            <w:pPr>
              <w:tabs>
                <w:tab w:val="num" w:pos="0"/>
              </w:tabs>
              <w:spacing w:before="200" w:after="0" w:line="276" w:lineRule="auto"/>
              <w:contextualSpacing/>
              <w:rPr>
                <w:rFonts w:ascii="Arial" w:eastAsia="Calibri" w:hAnsi="Arial" w:cs="Arial"/>
                <w:iCs/>
                <w:color w:val="000000"/>
                <w:sz w:val="20"/>
                <w:szCs w:val="20"/>
                <w:lang w:val="en-AU"/>
              </w:rPr>
            </w:pPr>
            <w:r w:rsidRPr="006A68EF">
              <w:rPr>
                <w:rFonts w:ascii="Arial" w:eastAsia="Calibri" w:hAnsi="Arial" w:cs="Arial"/>
                <w:iCs/>
                <w:color w:val="000000"/>
                <w:sz w:val="20"/>
                <w:szCs w:val="20"/>
                <w:lang w:val="en-AU"/>
              </w:rPr>
              <w:t>Corticosteroid</w:t>
            </w:r>
          </w:p>
        </w:tc>
        <w:tc>
          <w:tcPr>
            <w:tcW w:w="972" w:type="pct"/>
            <w:tcBorders>
              <w:top w:val="single" w:sz="4" w:space="0" w:color="auto"/>
              <w:bottom w:val="single" w:sz="4" w:space="0" w:color="auto"/>
            </w:tcBorders>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iCs/>
                <w:color w:val="000000"/>
                <w:sz w:val="20"/>
                <w:szCs w:val="20"/>
                <w:lang w:val="en-AU"/>
              </w:rPr>
            </w:pPr>
            <w:r w:rsidRPr="006A68EF">
              <w:rPr>
                <w:rFonts w:ascii="Arial" w:eastAsia="Calibri" w:hAnsi="Arial" w:cs="Arial"/>
                <w:iCs/>
                <w:color w:val="000000"/>
                <w:sz w:val="20"/>
                <w:szCs w:val="20"/>
                <w:lang w:val="en-AU"/>
              </w:rPr>
              <w:t>No Repeat Corticosteroid</w:t>
            </w:r>
          </w:p>
        </w:tc>
        <w:tc>
          <w:tcPr>
            <w:tcW w:w="558" w:type="pct"/>
            <w:tcBorders>
              <w:top w:val="single" w:sz="4" w:space="0" w:color="auto"/>
              <w:bottom w:val="single" w:sz="4" w:space="0" w:color="auto"/>
            </w:tcBorders>
            <w:shd w:val="clear" w:color="auto" w:fill="FFFFFF"/>
            <w:tcMar>
              <w:left w:w="67" w:type="dxa"/>
              <w:right w:w="67" w:type="dxa"/>
            </w:tcMar>
            <w:vAlign w:val="center"/>
          </w:tcPr>
          <w:p w:rsidR="006A68EF" w:rsidRPr="006A68EF" w:rsidRDefault="006A68EF" w:rsidP="006A68EF">
            <w:pPr>
              <w:keepNext/>
              <w:tabs>
                <w:tab w:val="num" w:pos="0"/>
              </w:tabs>
              <w:spacing w:before="200" w:after="0" w:line="276" w:lineRule="auto"/>
              <w:contextualSpacing/>
              <w:outlineLvl w:val="0"/>
              <w:rPr>
                <w:rFonts w:ascii="Arial" w:eastAsia="Calibri" w:hAnsi="Arial" w:cs="Arial"/>
                <w:iCs/>
                <w:color w:val="000000"/>
                <w:sz w:val="20"/>
                <w:szCs w:val="20"/>
                <w:lang w:val="en-AU"/>
              </w:rPr>
            </w:pPr>
            <w:r w:rsidRPr="006A68EF">
              <w:rPr>
                <w:rFonts w:ascii="Arial" w:eastAsia="Calibri" w:hAnsi="Arial" w:cs="Arial"/>
                <w:iCs/>
                <w:color w:val="000000"/>
                <w:sz w:val="20"/>
                <w:szCs w:val="20"/>
                <w:lang w:val="en-AU"/>
              </w:rPr>
              <w:t>Treatment Effect</w:t>
            </w:r>
          </w:p>
        </w:tc>
        <w:tc>
          <w:tcPr>
            <w:tcW w:w="626" w:type="pct"/>
            <w:tcBorders>
              <w:top w:val="single" w:sz="4" w:space="0" w:color="auto"/>
              <w:bottom w:val="single" w:sz="4" w:space="0" w:color="auto"/>
            </w:tcBorders>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iCs/>
                <w:color w:val="000000"/>
                <w:sz w:val="20"/>
                <w:szCs w:val="20"/>
                <w:lang w:val="en-AU"/>
              </w:rPr>
            </w:pPr>
            <w:r w:rsidRPr="006A68EF">
              <w:rPr>
                <w:rFonts w:ascii="Arial" w:eastAsia="Calibri" w:hAnsi="Arial" w:cs="Arial"/>
                <w:iCs/>
                <w:color w:val="000000"/>
                <w:sz w:val="20"/>
                <w:szCs w:val="20"/>
                <w:lang w:val="en-AU"/>
              </w:rPr>
              <w:t>95%CI</w:t>
            </w:r>
          </w:p>
        </w:tc>
        <w:tc>
          <w:tcPr>
            <w:tcW w:w="413" w:type="pct"/>
            <w:tcBorders>
              <w:top w:val="single" w:sz="4" w:space="0" w:color="auto"/>
              <w:bottom w:val="single" w:sz="4" w:space="0" w:color="auto"/>
            </w:tcBorders>
            <w:shd w:val="clear" w:color="auto" w:fill="FFFFFF"/>
            <w:tcMar>
              <w:left w:w="67" w:type="dxa"/>
              <w:right w:w="67" w:type="dxa"/>
            </w:tcMar>
            <w:vAlign w:val="center"/>
          </w:tcPr>
          <w:p w:rsidR="006A68EF" w:rsidRPr="006A68EF" w:rsidRDefault="00AD4D93" w:rsidP="006A68EF">
            <w:pPr>
              <w:tabs>
                <w:tab w:val="num" w:pos="0"/>
              </w:tabs>
              <w:spacing w:before="200" w:after="0" w:line="276" w:lineRule="auto"/>
              <w:contextualSpacing/>
              <w:rPr>
                <w:rFonts w:ascii="Arial" w:eastAsia="Calibri" w:hAnsi="Arial" w:cs="Arial"/>
                <w:iCs/>
                <w:color w:val="000000"/>
                <w:sz w:val="20"/>
                <w:szCs w:val="20"/>
                <w:lang w:val="en-AU"/>
              </w:rPr>
            </w:pPr>
            <w:r>
              <w:rPr>
                <w:rFonts w:ascii="Arial" w:eastAsia="Calibri" w:hAnsi="Arial" w:cs="Arial"/>
                <w:iCs/>
                <w:color w:val="000000"/>
                <w:sz w:val="20"/>
                <w:szCs w:val="20"/>
                <w:lang w:val="en-AU"/>
              </w:rPr>
              <w:t>P value*</w:t>
            </w:r>
          </w:p>
        </w:tc>
      </w:tr>
      <w:tr w:rsidR="006A68EF" w:rsidRPr="006A68EF" w:rsidTr="00B40223">
        <w:trPr>
          <w:cantSplit/>
        </w:trPr>
        <w:tc>
          <w:tcPr>
            <w:tcW w:w="1044" w:type="pct"/>
            <w:tcBorders>
              <w:top w:val="single" w:sz="4" w:space="0" w:color="auto"/>
            </w:tcBorders>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Death (</w:t>
            </w:r>
            <w:proofErr w:type="spellStart"/>
            <w:r w:rsidRPr="006A68EF">
              <w:rPr>
                <w:rFonts w:ascii="Arial" w:eastAsia="Calibri" w:hAnsi="Arial" w:cs="Arial"/>
                <w:color w:val="000000"/>
                <w:sz w:val="20"/>
                <w:szCs w:val="20"/>
                <w:lang w:val="en-AU"/>
              </w:rPr>
              <w:t>fetal</w:t>
            </w:r>
            <w:proofErr w:type="spellEnd"/>
            <w:r w:rsidRPr="006A68EF">
              <w:rPr>
                <w:rFonts w:ascii="Arial" w:eastAsia="Calibri" w:hAnsi="Arial" w:cs="Arial"/>
                <w:color w:val="000000"/>
                <w:sz w:val="20"/>
                <w:szCs w:val="20"/>
                <w:lang w:val="en-AU"/>
              </w:rPr>
              <w:t>, neonatal or later death up to the time of follow up)</w:t>
            </w:r>
          </w:p>
        </w:tc>
        <w:tc>
          <w:tcPr>
            <w:tcW w:w="397" w:type="pct"/>
            <w:tcBorders>
              <w:top w:val="single" w:sz="4" w:space="0" w:color="auto"/>
            </w:tcBorders>
            <w:shd w:val="clear" w:color="auto" w:fill="FFFFFF"/>
            <w:vAlign w:val="center"/>
          </w:tcPr>
          <w:p w:rsidR="006A68EF" w:rsidRPr="006A68EF" w:rsidRDefault="006A68EF" w:rsidP="006A68EF">
            <w:pPr>
              <w:tabs>
                <w:tab w:val="num" w:pos="0"/>
              </w:tabs>
              <w:spacing w:before="200" w:after="0" w:line="276" w:lineRule="auto"/>
              <w:contextualSpacing/>
              <w:jc w:val="center"/>
              <w:rPr>
                <w:rFonts w:ascii="Arial" w:eastAsia="Calibri" w:hAnsi="Arial" w:cs="Arial"/>
                <w:color w:val="000000"/>
                <w:sz w:val="20"/>
                <w:szCs w:val="20"/>
                <w:lang w:val="en-AU"/>
              </w:rPr>
            </w:pPr>
            <w:r w:rsidRPr="006A68EF">
              <w:rPr>
                <w:rFonts w:ascii="Arial" w:eastAsia="Calibri" w:hAnsi="Arial" w:cs="Arial"/>
                <w:color w:val="000000"/>
                <w:sz w:val="20"/>
                <w:szCs w:val="20"/>
                <w:lang w:val="en-AU"/>
              </w:rPr>
              <w:t>11</w:t>
            </w:r>
          </w:p>
        </w:tc>
        <w:tc>
          <w:tcPr>
            <w:tcW w:w="990" w:type="pct"/>
            <w:tcBorders>
              <w:top w:val="single" w:sz="4" w:space="0" w:color="auto"/>
            </w:tcBorders>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119/2896 (4.1%)</w:t>
            </w:r>
          </w:p>
        </w:tc>
        <w:tc>
          <w:tcPr>
            <w:tcW w:w="972" w:type="pct"/>
            <w:tcBorders>
              <w:top w:val="single" w:sz="4" w:space="0" w:color="auto"/>
            </w:tcBorders>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120/2868 (4.2%)</w:t>
            </w:r>
          </w:p>
        </w:tc>
        <w:tc>
          <w:tcPr>
            <w:tcW w:w="558" w:type="pct"/>
            <w:tcBorders>
              <w:top w:val="single" w:sz="4" w:space="0" w:color="auto"/>
            </w:tcBorders>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0.96</w:t>
            </w:r>
          </w:p>
        </w:tc>
        <w:tc>
          <w:tcPr>
            <w:tcW w:w="626" w:type="pct"/>
            <w:tcBorders>
              <w:top w:val="single" w:sz="4" w:space="0" w:color="auto"/>
            </w:tcBorders>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0.74, 1.24</w:t>
            </w:r>
          </w:p>
        </w:tc>
        <w:tc>
          <w:tcPr>
            <w:tcW w:w="413" w:type="pct"/>
            <w:tcBorders>
              <w:top w:val="single" w:sz="4" w:space="0" w:color="auto"/>
            </w:tcBorders>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0.75</w:t>
            </w:r>
          </w:p>
        </w:tc>
      </w:tr>
      <w:tr w:rsidR="006A68EF" w:rsidRPr="006A68EF" w:rsidTr="00B40223">
        <w:trPr>
          <w:cantSplit/>
        </w:trPr>
        <w:tc>
          <w:tcPr>
            <w:tcW w:w="1042" w:type="pct"/>
            <w:shd w:val="clear" w:color="auto" w:fill="FFFFFF"/>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u w:val="single"/>
                <w:lang w:val="en-AU"/>
              </w:rPr>
            </w:pPr>
          </w:p>
        </w:tc>
        <w:tc>
          <w:tcPr>
            <w:tcW w:w="3958" w:type="pct"/>
            <w:gridSpan w:val="6"/>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jc w:val="center"/>
              <w:rPr>
                <w:rFonts w:ascii="Arial" w:eastAsia="Calibri" w:hAnsi="Arial" w:cs="Arial"/>
                <w:color w:val="000000"/>
                <w:sz w:val="20"/>
                <w:szCs w:val="20"/>
                <w:u w:val="single"/>
                <w:lang w:val="en-AU"/>
              </w:rPr>
            </w:pPr>
            <w:r w:rsidRPr="006A68EF">
              <w:rPr>
                <w:rFonts w:ascii="Arial" w:eastAsia="Calibri" w:hAnsi="Arial" w:cs="Arial"/>
                <w:color w:val="000000"/>
                <w:sz w:val="20"/>
                <w:szCs w:val="20"/>
                <w:u w:val="single"/>
                <w:lang w:val="en-AU"/>
              </w:rPr>
              <w:t>Neurosensory impairments</w:t>
            </w:r>
          </w:p>
        </w:tc>
      </w:tr>
      <w:tr w:rsidR="006A68EF" w:rsidRPr="006A68EF" w:rsidTr="00B40223">
        <w:trPr>
          <w:cantSplit/>
        </w:trPr>
        <w:tc>
          <w:tcPr>
            <w:tcW w:w="1044"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Cerebral palsy</w:t>
            </w:r>
          </w:p>
        </w:tc>
        <w:tc>
          <w:tcPr>
            <w:tcW w:w="397" w:type="pct"/>
            <w:shd w:val="clear" w:color="auto" w:fill="FFFFFF"/>
            <w:vAlign w:val="center"/>
          </w:tcPr>
          <w:p w:rsidR="006A68EF" w:rsidRPr="006A68EF" w:rsidRDefault="006A68EF" w:rsidP="006A68EF">
            <w:pPr>
              <w:tabs>
                <w:tab w:val="num" w:pos="0"/>
              </w:tabs>
              <w:spacing w:before="200" w:after="0" w:line="276" w:lineRule="auto"/>
              <w:contextualSpacing/>
              <w:jc w:val="center"/>
              <w:rPr>
                <w:rFonts w:ascii="Arial" w:eastAsia="Calibri" w:hAnsi="Arial" w:cs="Arial"/>
                <w:color w:val="000000"/>
                <w:sz w:val="20"/>
                <w:szCs w:val="20"/>
                <w:lang w:val="en-AU"/>
              </w:rPr>
            </w:pPr>
            <w:r w:rsidRPr="006A68EF">
              <w:rPr>
                <w:rFonts w:ascii="Arial" w:eastAsia="Calibri" w:hAnsi="Arial" w:cs="Arial"/>
                <w:color w:val="000000"/>
                <w:sz w:val="20"/>
                <w:szCs w:val="20"/>
                <w:lang w:val="en-AU"/>
              </w:rPr>
              <w:t>5</w:t>
            </w:r>
          </w:p>
        </w:tc>
        <w:tc>
          <w:tcPr>
            <w:tcW w:w="990"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55/1961 (2.8%)</w:t>
            </w:r>
          </w:p>
        </w:tc>
        <w:tc>
          <w:tcPr>
            <w:tcW w:w="972"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53/1950 (2.7%)</w:t>
            </w:r>
          </w:p>
        </w:tc>
        <w:tc>
          <w:tcPr>
            <w:tcW w:w="558"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1.02</w:t>
            </w:r>
          </w:p>
        </w:tc>
        <w:tc>
          <w:tcPr>
            <w:tcW w:w="626"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0.70, 1.49</w:t>
            </w:r>
          </w:p>
        </w:tc>
        <w:tc>
          <w:tcPr>
            <w:tcW w:w="413"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0.53</w:t>
            </w:r>
          </w:p>
        </w:tc>
      </w:tr>
      <w:tr w:rsidR="006A68EF" w:rsidRPr="006A68EF" w:rsidTr="00B40223">
        <w:trPr>
          <w:cantSplit/>
        </w:trPr>
        <w:tc>
          <w:tcPr>
            <w:tcW w:w="1044"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Developmental delay or intellectual impairment</w:t>
            </w:r>
          </w:p>
        </w:tc>
        <w:tc>
          <w:tcPr>
            <w:tcW w:w="397" w:type="pct"/>
            <w:shd w:val="clear" w:color="auto" w:fill="FFFFFF"/>
            <w:vAlign w:val="center"/>
          </w:tcPr>
          <w:p w:rsidR="006A68EF" w:rsidRPr="006A68EF" w:rsidRDefault="006A68EF" w:rsidP="006A68EF">
            <w:pPr>
              <w:tabs>
                <w:tab w:val="num" w:pos="0"/>
              </w:tabs>
              <w:spacing w:before="200" w:after="0" w:line="276" w:lineRule="auto"/>
              <w:contextualSpacing/>
              <w:jc w:val="center"/>
              <w:rPr>
                <w:rFonts w:ascii="Arial" w:eastAsia="Calibri" w:hAnsi="Arial" w:cs="Arial"/>
                <w:color w:val="000000"/>
                <w:sz w:val="20"/>
                <w:szCs w:val="20"/>
                <w:lang w:val="en-AU"/>
              </w:rPr>
            </w:pPr>
            <w:r w:rsidRPr="006A68EF">
              <w:rPr>
                <w:rFonts w:ascii="Arial" w:eastAsia="Calibri" w:hAnsi="Arial" w:cs="Arial"/>
                <w:color w:val="000000"/>
                <w:sz w:val="20"/>
                <w:szCs w:val="20"/>
                <w:lang w:val="en-AU"/>
              </w:rPr>
              <w:t>4</w:t>
            </w:r>
          </w:p>
        </w:tc>
        <w:tc>
          <w:tcPr>
            <w:tcW w:w="990"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532/1833 (29.0%)</w:t>
            </w:r>
          </w:p>
        </w:tc>
        <w:tc>
          <w:tcPr>
            <w:tcW w:w="972"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522/1819 (28.7%)</w:t>
            </w:r>
          </w:p>
        </w:tc>
        <w:tc>
          <w:tcPr>
            <w:tcW w:w="558"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1.02</w:t>
            </w:r>
          </w:p>
        </w:tc>
        <w:tc>
          <w:tcPr>
            <w:tcW w:w="626"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0.92, 1.14</w:t>
            </w:r>
          </w:p>
        </w:tc>
        <w:tc>
          <w:tcPr>
            <w:tcW w:w="413"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0.90</w:t>
            </w:r>
          </w:p>
        </w:tc>
      </w:tr>
      <w:tr w:rsidR="006A68EF" w:rsidRPr="006A68EF" w:rsidTr="00B40223">
        <w:trPr>
          <w:cantSplit/>
        </w:trPr>
        <w:tc>
          <w:tcPr>
            <w:tcW w:w="1044"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Blindness</w:t>
            </w:r>
          </w:p>
        </w:tc>
        <w:tc>
          <w:tcPr>
            <w:tcW w:w="397" w:type="pct"/>
            <w:shd w:val="clear" w:color="auto" w:fill="FFFFFF"/>
            <w:vAlign w:val="center"/>
          </w:tcPr>
          <w:p w:rsidR="006A68EF" w:rsidRPr="006A68EF" w:rsidRDefault="006A68EF" w:rsidP="006A68EF">
            <w:pPr>
              <w:tabs>
                <w:tab w:val="num" w:pos="0"/>
              </w:tabs>
              <w:spacing w:before="200" w:after="0" w:line="276" w:lineRule="auto"/>
              <w:contextualSpacing/>
              <w:jc w:val="center"/>
              <w:rPr>
                <w:rFonts w:ascii="Arial" w:eastAsia="Calibri" w:hAnsi="Arial" w:cs="Arial"/>
                <w:color w:val="000000"/>
                <w:sz w:val="20"/>
                <w:szCs w:val="20"/>
                <w:lang w:val="en-AU"/>
              </w:rPr>
            </w:pPr>
            <w:r w:rsidRPr="006A68EF">
              <w:rPr>
                <w:rFonts w:ascii="Arial" w:eastAsia="Calibri" w:hAnsi="Arial" w:cs="Arial"/>
                <w:color w:val="000000"/>
                <w:sz w:val="20"/>
                <w:szCs w:val="20"/>
                <w:lang w:val="en-AU"/>
              </w:rPr>
              <w:t>4</w:t>
            </w:r>
          </w:p>
        </w:tc>
        <w:tc>
          <w:tcPr>
            <w:tcW w:w="990"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24/1537 (1.6%)</w:t>
            </w:r>
          </w:p>
        </w:tc>
        <w:tc>
          <w:tcPr>
            <w:tcW w:w="972"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20/1508 (1.3%)</w:t>
            </w:r>
          </w:p>
        </w:tc>
        <w:tc>
          <w:tcPr>
            <w:tcW w:w="558"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1.14</w:t>
            </w:r>
          </w:p>
        </w:tc>
        <w:tc>
          <w:tcPr>
            <w:tcW w:w="626"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0.62, 2.12</w:t>
            </w:r>
          </w:p>
        </w:tc>
        <w:tc>
          <w:tcPr>
            <w:tcW w:w="413"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0.35</w:t>
            </w:r>
          </w:p>
        </w:tc>
      </w:tr>
      <w:tr w:rsidR="006A68EF" w:rsidRPr="006A68EF" w:rsidTr="00B40223">
        <w:trPr>
          <w:cantSplit/>
        </w:trPr>
        <w:tc>
          <w:tcPr>
            <w:tcW w:w="1044"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Deafness</w:t>
            </w:r>
          </w:p>
        </w:tc>
        <w:tc>
          <w:tcPr>
            <w:tcW w:w="397" w:type="pct"/>
            <w:shd w:val="clear" w:color="auto" w:fill="FFFFFF"/>
            <w:vAlign w:val="center"/>
          </w:tcPr>
          <w:p w:rsidR="006A68EF" w:rsidRPr="006A68EF" w:rsidRDefault="006A68EF" w:rsidP="006A68EF">
            <w:pPr>
              <w:tabs>
                <w:tab w:val="num" w:pos="0"/>
              </w:tabs>
              <w:spacing w:before="200" w:after="0" w:line="276" w:lineRule="auto"/>
              <w:contextualSpacing/>
              <w:jc w:val="center"/>
              <w:rPr>
                <w:rFonts w:ascii="Arial" w:eastAsia="Calibri" w:hAnsi="Arial" w:cs="Arial"/>
                <w:color w:val="000000"/>
                <w:sz w:val="20"/>
                <w:szCs w:val="20"/>
                <w:lang w:val="en-AU"/>
              </w:rPr>
            </w:pPr>
            <w:r w:rsidRPr="006A68EF">
              <w:rPr>
                <w:rFonts w:ascii="Arial" w:eastAsia="Calibri" w:hAnsi="Arial" w:cs="Arial"/>
                <w:color w:val="000000"/>
                <w:sz w:val="20"/>
                <w:szCs w:val="20"/>
                <w:lang w:val="en-AU"/>
              </w:rPr>
              <w:t>4</w:t>
            </w:r>
          </w:p>
        </w:tc>
        <w:tc>
          <w:tcPr>
            <w:tcW w:w="990"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24/1534 (1.6%)</w:t>
            </w:r>
          </w:p>
        </w:tc>
        <w:tc>
          <w:tcPr>
            <w:tcW w:w="972"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24/1507 (1.6%)</w:t>
            </w:r>
          </w:p>
        </w:tc>
        <w:tc>
          <w:tcPr>
            <w:tcW w:w="558"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1.02</w:t>
            </w:r>
          </w:p>
        </w:tc>
        <w:tc>
          <w:tcPr>
            <w:tcW w:w="626"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0.57, 1.85</w:t>
            </w:r>
          </w:p>
        </w:tc>
        <w:tc>
          <w:tcPr>
            <w:tcW w:w="413"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0.83</w:t>
            </w:r>
          </w:p>
        </w:tc>
      </w:tr>
      <w:tr w:rsidR="006A68EF" w:rsidRPr="006A68EF" w:rsidTr="00B40223">
        <w:trPr>
          <w:cantSplit/>
        </w:trPr>
        <w:tc>
          <w:tcPr>
            <w:tcW w:w="1044" w:type="pct"/>
            <w:shd w:val="clear" w:color="auto" w:fill="FFFFFF"/>
            <w:tcMar>
              <w:left w:w="67" w:type="dxa"/>
              <w:right w:w="67" w:type="dxa"/>
            </w:tcMar>
            <w:vAlign w:val="center"/>
          </w:tcPr>
          <w:p w:rsidR="006A68EF" w:rsidRPr="006A68EF" w:rsidRDefault="00AD4D93" w:rsidP="006A68EF">
            <w:pPr>
              <w:tabs>
                <w:tab w:val="num" w:pos="0"/>
              </w:tabs>
              <w:spacing w:before="200" w:after="0" w:line="276" w:lineRule="auto"/>
              <w:contextualSpacing/>
              <w:rPr>
                <w:rFonts w:ascii="Arial" w:eastAsia="Calibri" w:hAnsi="Arial" w:cs="Arial"/>
                <w:color w:val="000000"/>
                <w:sz w:val="20"/>
                <w:szCs w:val="20"/>
                <w:lang w:val="en-AU"/>
              </w:rPr>
            </w:pPr>
            <w:r>
              <w:rPr>
                <w:rFonts w:ascii="Arial" w:eastAsia="Calibri" w:hAnsi="Arial" w:cs="Arial"/>
                <w:color w:val="000000"/>
                <w:sz w:val="20"/>
                <w:szCs w:val="20"/>
                <w:lang w:val="en-AU"/>
              </w:rPr>
              <w:t>Gross motor dysfunction**</w:t>
            </w:r>
          </w:p>
        </w:tc>
        <w:tc>
          <w:tcPr>
            <w:tcW w:w="397" w:type="pct"/>
            <w:shd w:val="clear" w:color="auto" w:fill="FFFFFF"/>
            <w:vAlign w:val="center"/>
          </w:tcPr>
          <w:p w:rsidR="006A68EF" w:rsidRPr="006A68EF" w:rsidRDefault="006A68EF" w:rsidP="006A68EF">
            <w:pPr>
              <w:tabs>
                <w:tab w:val="num" w:pos="0"/>
              </w:tabs>
              <w:spacing w:before="200" w:after="0" w:line="276" w:lineRule="auto"/>
              <w:contextualSpacing/>
              <w:jc w:val="center"/>
              <w:rPr>
                <w:rFonts w:ascii="Arial" w:eastAsia="Calibri" w:hAnsi="Arial" w:cs="Arial"/>
                <w:color w:val="000000"/>
                <w:sz w:val="20"/>
                <w:szCs w:val="20"/>
                <w:lang w:val="en-AU"/>
              </w:rPr>
            </w:pPr>
            <w:r w:rsidRPr="006A68EF">
              <w:rPr>
                <w:rFonts w:ascii="Arial" w:eastAsia="Calibri" w:hAnsi="Arial" w:cs="Arial"/>
                <w:color w:val="000000"/>
                <w:sz w:val="20"/>
                <w:szCs w:val="20"/>
                <w:lang w:val="en-AU"/>
              </w:rPr>
              <w:t>4</w:t>
            </w:r>
          </w:p>
        </w:tc>
        <w:tc>
          <w:tcPr>
            <w:tcW w:w="990"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95/1879 (5.1%)</w:t>
            </w:r>
          </w:p>
        </w:tc>
        <w:tc>
          <w:tcPr>
            <w:tcW w:w="972"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95/1848 (5.1%)</w:t>
            </w:r>
          </w:p>
        </w:tc>
        <w:tc>
          <w:tcPr>
            <w:tcW w:w="558"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0.98</w:t>
            </w:r>
          </w:p>
        </w:tc>
        <w:tc>
          <w:tcPr>
            <w:tcW w:w="626"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0.74, 1.29</w:t>
            </w:r>
          </w:p>
        </w:tc>
        <w:tc>
          <w:tcPr>
            <w:tcW w:w="413"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0.97</w:t>
            </w:r>
          </w:p>
        </w:tc>
      </w:tr>
      <w:tr w:rsidR="006A68EF" w:rsidRPr="006A68EF" w:rsidTr="00B40223">
        <w:trPr>
          <w:cantSplit/>
        </w:trPr>
        <w:tc>
          <w:tcPr>
            <w:tcW w:w="1044"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Motor delay</w:t>
            </w:r>
          </w:p>
        </w:tc>
        <w:tc>
          <w:tcPr>
            <w:tcW w:w="397" w:type="pct"/>
            <w:shd w:val="clear" w:color="auto" w:fill="FFFFFF"/>
            <w:vAlign w:val="center"/>
          </w:tcPr>
          <w:p w:rsidR="006A68EF" w:rsidRPr="006A68EF" w:rsidRDefault="006A68EF" w:rsidP="006A68EF">
            <w:pPr>
              <w:tabs>
                <w:tab w:val="num" w:pos="0"/>
              </w:tabs>
              <w:spacing w:before="200" w:after="0" w:line="276" w:lineRule="auto"/>
              <w:contextualSpacing/>
              <w:jc w:val="center"/>
              <w:rPr>
                <w:rFonts w:ascii="Arial" w:eastAsia="Calibri" w:hAnsi="Arial" w:cs="Arial"/>
                <w:color w:val="000000"/>
                <w:sz w:val="20"/>
                <w:szCs w:val="20"/>
                <w:lang w:val="en-AU"/>
              </w:rPr>
            </w:pPr>
            <w:r w:rsidRPr="006A68EF">
              <w:rPr>
                <w:rFonts w:ascii="Arial" w:eastAsia="Calibri" w:hAnsi="Arial" w:cs="Arial"/>
                <w:color w:val="000000"/>
                <w:sz w:val="20"/>
                <w:szCs w:val="20"/>
                <w:lang w:val="en-AU"/>
              </w:rPr>
              <w:t>4</w:t>
            </w:r>
          </w:p>
        </w:tc>
        <w:tc>
          <w:tcPr>
            <w:tcW w:w="990"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380/1783 (21.3%)</w:t>
            </w:r>
          </w:p>
        </w:tc>
        <w:tc>
          <w:tcPr>
            <w:tcW w:w="972"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362/1776 (20.4%)</w:t>
            </w:r>
          </w:p>
        </w:tc>
        <w:tc>
          <w:tcPr>
            <w:tcW w:w="558"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1.05</w:t>
            </w:r>
          </w:p>
        </w:tc>
        <w:tc>
          <w:tcPr>
            <w:tcW w:w="626"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0.92, 1.21</w:t>
            </w:r>
          </w:p>
        </w:tc>
        <w:tc>
          <w:tcPr>
            <w:tcW w:w="413"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0.52</w:t>
            </w:r>
          </w:p>
        </w:tc>
      </w:tr>
      <w:tr w:rsidR="006A68EF" w:rsidRPr="006A68EF" w:rsidTr="00B40223">
        <w:trPr>
          <w:cantSplit/>
        </w:trPr>
        <w:tc>
          <w:tcPr>
            <w:tcW w:w="1044"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Any neurosensory disability***</w:t>
            </w:r>
          </w:p>
        </w:tc>
        <w:tc>
          <w:tcPr>
            <w:tcW w:w="397" w:type="pct"/>
            <w:shd w:val="clear" w:color="auto" w:fill="FFFFFF"/>
            <w:vAlign w:val="center"/>
          </w:tcPr>
          <w:p w:rsidR="006A68EF" w:rsidRPr="006A68EF" w:rsidRDefault="006A68EF" w:rsidP="006A68EF">
            <w:pPr>
              <w:tabs>
                <w:tab w:val="num" w:pos="0"/>
              </w:tabs>
              <w:spacing w:before="200" w:after="0" w:line="276" w:lineRule="auto"/>
              <w:contextualSpacing/>
              <w:jc w:val="center"/>
              <w:rPr>
                <w:rFonts w:ascii="Arial" w:eastAsia="Calibri" w:hAnsi="Arial" w:cs="Arial"/>
                <w:color w:val="000000"/>
                <w:sz w:val="20"/>
                <w:szCs w:val="20"/>
                <w:lang w:val="en-AU"/>
              </w:rPr>
            </w:pPr>
            <w:r w:rsidRPr="006A68EF">
              <w:rPr>
                <w:rFonts w:ascii="Arial" w:eastAsia="Calibri" w:hAnsi="Arial" w:cs="Arial"/>
                <w:color w:val="000000"/>
                <w:sz w:val="20"/>
                <w:szCs w:val="20"/>
                <w:lang w:val="en-AU"/>
              </w:rPr>
              <w:t>5</w:t>
            </w:r>
          </w:p>
        </w:tc>
        <w:tc>
          <w:tcPr>
            <w:tcW w:w="990"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605/2065 (29.3%)</w:t>
            </w:r>
          </w:p>
        </w:tc>
        <w:tc>
          <w:tcPr>
            <w:tcW w:w="972"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585/2060 (28.4%)</w:t>
            </w:r>
          </w:p>
        </w:tc>
        <w:tc>
          <w:tcPr>
            <w:tcW w:w="558"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1.03</w:t>
            </w:r>
          </w:p>
        </w:tc>
        <w:tc>
          <w:tcPr>
            <w:tcW w:w="626"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0.93, 1.14</w:t>
            </w:r>
          </w:p>
        </w:tc>
        <w:tc>
          <w:tcPr>
            <w:tcW w:w="413"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0.91</w:t>
            </w:r>
          </w:p>
        </w:tc>
      </w:tr>
      <w:tr w:rsidR="006A68EF" w:rsidRPr="006A68EF" w:rsidTr="00B40223">
        <w:trPr>
          <w:cantSplit/>
        </w:trPr>
        <w:tc>
          <w:tcPr>
            <w:tcW w:w="1044"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Major neurosensory disability†</w:t>
            </w:r>
          </w:p>
        </w:tc>
        <w:tc>
          <w:tcPr>
            <w:tcW w:w="397" w:type="pct"/>
            <w:shd w:val="clear" w:color="auto" w:fill="FFFFFF"/>
            <w:vAlign w:val="center"/>
          </w:tcPr>
          <w:p w:rsidR="006A68EF" w:rsidRPr="006A68EF" w:rsidRDefault="006A68EF" w:rsidP="006A68EF">
            <w:pPr>
              <w:tabs>
                <w:tab w:val="num" w:pos="0"/>
              </w:tabs>
              <w:spacing w:before="200" w:after="0" w:line="276" w:lineRule="auto"/>
              <w:contextualSpacing/>
              <w:jc w:val="center"/>
              <w:rPr>
                <w:rFonts w:ascii="Arial" w:eastAsia="Calibri" w:hAnsi="Arial" w:cs="Arial"/>
                <w:color w:val="000000"/>
                <w:sz w:val="20"/>
                <w:szCs w:val="20"/>
                <w:lang w:val="en-AU"/>
              </w:rPr>
            </w:pPr>
            <w:r w:rsidRPr="006A68EF">
              <w:rPr>
                <w:rFonts w:ascii="Arial" w:eastAsia="Calibri" w:hAnsi="Arial" w:cs="Arial"/>
                <w:color w:val="000000"/>
                <w:sz w:val="20"/>
                <w:szCs w:val="20"/>
                <w:lang w:val="en-AU"/>
              </w:rPr>
              <w:t>5</w:t>
            </w:r>
          </w:p>
        </w:tc>
        <w:tc>
          <w:tcPr>
            <w:tcW w:w="990"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212/2006 (10.6%)</w:t>
            </w:r>
          </w:p>
        </w:tc>
        <w:tc>
          <w:tcPr>
            <w:tcW w:w="972"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204/1996 (10.2%)</w:t>
            </w:r>
          </w:p>
        </w:tc>
        <w:tc>
          <w:tcPr>
            <w:tcW w:w="558"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1.03</w:t>
            </w:r>
          </w:p>
        </w:tc>
        <w:tc>
          <w:tcPr>
            <w:tcW w:w="626"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0.85, 1.25</w:t>
            </w:r>
          </w:p>
        </w:tc>
        <w:tc>
          <w:tcPr>
            <w:tcW w:w="413"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0.23</w:t>
            </w:r>
          </w:p>
        </w:tc>
      </w:tr>
      <w:tr w:rsidR="006A68EF" w:rsidRPr="006A68EF" w:rsidTr="00B40223">
        <w:trPr>
          <w:cantSplit/>
        </w:trPr>
        <w:tc>
          <w:tcPr>
            <w:tcW w:w="1044"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Weight at follow up (z-scores)#</w:t>
            </w:r>
          </w:p>
        </w:tc>
        <w:tc>
          <w:tcPr>
            <w:tcW w:w="397" w:type="pct"/>
            <w:shd w:val="clear" w:color="auto" w:fill="FFFFFF"/>
            <w:vAlign w:val="center"/>
          </w:tcPr>
          <w:p w:rsidR="006A68EF" w:rsidRPr="006A68EF" w:rsidRDefault="006A68EF" w:rsidP="006A68EF">
            <w:pPr>
              <w:tabs>
                <w:tab w:val="num" w:pos="0"/>
              </w:tabs>
              <w:spacing w:before="200" w:after="0" w:line="276" w:lineRule="auto"/>
              <w:contextualSpacing/>
              <w:jc w:val="center"/>
              <w:rPr>
                <w:rFonts w:ascii="Arial" w:eastAsia="Calibri" w:hAnsi="Arial" w:cs="Arial"/>
                <w:color w:val="000000"/>
                <w:sz w:val="20"/>
                <w:szCs w:val="20"/>
                <w:lang w:val="en-AU"/>
              </w:rPr>
            </w:pPr>
            <w:r w:rsidRPr="006A68EF">
              <w:rPr>
                <w:rFonts w:ascii="Arial" w:eastAsia="Calibri" w:hAnsi="Arial" w:cs="Arial"/>
                <w:color w:val="000000"/>
                <w:sz w:val="20"/>
                <w:szCs w:val="20"/>
                <w:lang w:val="en-AU"/>
              </w:rPr>
              <w:t>4</w:t>
            </w:r>
          </w:p>
        </w:tc>
        <w:tc>
          <w:tcPr>
            <w:tcW w:w="990"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n=1878,  0.22 (0.03)</w:t>
            </w:r>
          </w:p>
        </w:tc>
        <w:tc>
          <w:tcPr>
            <w:tcW w:w="972"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n=1856,  0.34 (0.03)</w:t>
            </w:r>
          </w:p>
        </w:tc>
        <w:tc>
          <w:tcPr>
            <w:tcW w:w="558"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sz w:val="20"/>
                <w:szCs w:val="20"/>
                <w:lang w:val="en-AU"/>
              </w:rPr>
            </w:pPr>
            <w:r w:rsidRPr="006A68EF">
              <w:rPr>
                <w:rFonts w:ascii="Arial" w:eastAsia="Calibri" w:hAnsi="Arial" w:cs="Arial"/>
                <w:sz w:val="20"/>
                <w:szCs w:val="20"/>
                <w:lang w:val="en-AU"/>
              </w:rPr>
              <w:t>-0.11</w:t>
            </w:r>
          </w:p>
        </w:tc>
        <w:tc>
          <w:tcPr>
            <w:tcW w:w="626"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sz w:val="20"/>
                <w:szCs w:val="20"/>
                <w:lang w:val="en-AU"/>
              </w:rPr>
            </w:pPr>
            <w:r w:rsidRPr="006A68EF">
              <w:rPr>
                <w:rFonts w:ascii="Arial" w:eastAsia="Calibri" w:hAnsi="Arial" w:cs="Arial"/>
                <w:sz w:val="20"/>
                <w:szCs w:val="20"/>
                <w:lang w:val="en-AU"/>
              </w:rPr>
              <w:t>-0.19, -0.03</w:t>
            </w:r>
          </w:p>
        </w:tc>
        <w:tc>
          <w:tcPr>
            <w:tcW w:w="413"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0.24</w:t>
            </w:r>
          </w:p>
        </w:tc>
      </w:tr>
      <w:tr w:rsidR="006A68EF" w:rsidRPr="006A68EF" w:rsidTr="00B40223">
        <w:trPr>
          <w:cantSplit/>
        </w:trPr>
        <w:tc>
          <w:tcPr>
            <w:tcW w:w="1044"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Head circumference at follow up (z-score)#</w:t>
            </w:r>
          </w:p>
        </w:tc>
        <w:tc>
          <w:tcPr>
            <w:tcW w:w="397" w:type="pct"/>
            <w:shd w:val="clear" w:color="auto" w:fill="FFFFFF"/>
            <w:vAlign w:val="center"/>
          </w:tcPr>
          <w:p w:rsidR="006A68EF" w:rsidRPr="006A68EF" w:rsidRDefault="006A68EF" w:rsidP="006A68EF">
            <w:pPr>
              <w:tabs>
                <w:tab w:val="num" w:pos="0"/>
              </w:tabs>
              <w:spacing w:before="200" w:after="0" w:line="276" w:lineRule="auto"/>
              <w:contextualSpacing/>
              <w:jc w:val="center"/>
              <w:rPr>
                <w:rFonts w:ascii="Arial" w:eastAsia="Calibri" w:hAnsi="Arial" w:cs="Arial"/>
                <w:color w:val="000000"/>
                <w:sz w:val="20"/>
                <w:szCs w:val="20"/>
                <w:lang w:val="en-AU"/>
              </w:rPr>
            </w:pPr>
            <w:r w:rsidRPr="006A68EF">
              <w:rPr>
                <w:rFonts w:ascii="Arial" w:eastAsia="Calibri" w:hAnsi="Arial" w:cs="Arial"/>
                <w:color w:val="000000"/>
                <w:sz w:val="20"/>
                <w:szCs w:val="20"/>
                <w:lang w:val="en-AU"/>
              </w:rPr>
              <w:t>4</w:t>
            </w:r>
          </w:p>
        </w:tc>
        <w:tc>
          <w:tcPr>
            <w:tcW w:w="990"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n=1844, 0.60 (0.03)</w:t>
            </w:r>
          </w:p>
        </w:tc>
        <w:tc>
          <w:tcPr>
            <w:tcW w:w="972"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n=1813, 0.68 (0.03)</w:t>
            </w:r>
          </w:p>
        </w:tc>
        <w:tc>
          <w:tcPr>
            <w:tcW w:w="558"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-0.07</w:t>
            </w:r>
          </w:p>
        </w:tc>
        <w:tc>
          <w:tcPr>
            <w:tcW w:w="626"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-0.15, 0.02</w:t>
            </w:r>
          </w:p>
        </w:tc>
        <w:tc>
          <w:tcPr>
            <w:tcW w:w="413"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0.44</w:t>
            </w:r>
          </w:p>
        </w:tc>
      </w:tr>
      <w:tr w:rsidR="006A68EF" w:rsidRPr="006A68EF" w:rsidTr="00B40223">
        <w:trPr>
          <w:cantSplit/>
        </w:trPr>
        <w:tc>
          <w:tcPr>
            <w:tcW w:w="1044"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Height at follow up (Z-score)#</w:t>
            </w:r>
          </w:p>
        </w:tc>
        <w:tc>
          <w:tcPr>
            <w:tcW w:w="397" w:type="pct"/>
            <w:shd w:val="clear" w:color="auto" w:fill="FFFFFF"/>
            <w:vAlign w:val="center"/>
          </w:tcPr>
          <w:p w:rsidR="006A68EF" w:rsidRPr="006A68EF" w:rsidRDefault="006A68EF" w:rsidP="006A68EF">
            <w:pPr>
              <w:tabs>
                <w:tab w:val="num" w:pos="0"/>
              </w:tabs>
              <w:spacing w:before="200" w:after="0" w:line="276" w:lineRule="auto"/>
              <w:contextualSpacing/>
              <w:jc w:val="center"/>
              <w:rPr>
                <w:rFonts w:ascii="Arial" w:eastAsia="Calibri" w:hAnsi="Arial" w:cs="Arial"/>
                <w:color w:val="000000"/>
                <w:sz w:val="20"/>
                <w:szCs w:val="20"/>
                <w:lang w:val="en-AU"/>
              </w:rPr>
            </w:pPr>
            <w:r w:rsidRPr="006A68EF">
              <w:rPr>
                <w:rFonts w:ascii="Arial" w:eastAsia="Calibri" w:hAnsi="Arial" w:cs="Arial"/>
                <w:color w:val="000000"/>
                <w:sz w:val="20"/>
                <w:szCs w:val="20"/>
                <w:lang w:val="en-AU"/>
              </w:rPr>
              <w:t>4</w:t>
            </w:r>
          </w:p>
        </w:tc>
        <w:tc>
          <w:tcPr>
            <w:tcW w:w="990"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n=1717, -0.06 (0.03)</w:t>
            </w:r>
          </w:p>
        </w:tc>
        <w:tc>
          <w:tcPr>
            <w:tcW w:w="972"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n=1693, 0.03 (0.03)</w:t>
            </w:r>
          </w:p>
        </w:tc>
        <w:tc>
          <w:tcPr>
            <w:tcW w:w="558"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-0.08</w:t>
            </w:r>
          </w:p>
        </w:tc>
        <w:tc>
          <w:tcPr>
            <w:tcW w:w="626"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-0.18, 0.01</w:t>
            </w:r>
          </w:p>
        </w:tc>
        <w:tc>
          <w:tcPr>
            <w:tcW w:w="413"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0.27</w:t>
            </w:r>
          </w:p>
        </w:tc>
      </w:tr>
      <w:tr w:rsidR="006A68EF" w:rsidRPr="006A68EF" w:rsidTr="00B40223">
        <w:trPr>
          <w:cantSplit/>
        </w:trPr>
        <w:tc>
          <w:tcPr>
            <w:tcW w:w="1044"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Child behaviour</w:t>
            </w:r>
          </w:p>
        </w:tc>
        <w:tc>
          <w:tcPr>
            <w:tcW w:w="397" w:type="pct"/>
            <w:shd w:val="clear" w:color="auto" w:fill="FFFFFF"/>
            <w:vAlign w:val="center"/>
          </w:tcPr>
          <w:p w:rsidR="006A68EF" w:rsidRPr="006A68EF" w:rsidRDefault="006A68EF" w:rsidP="006A68EF">
            <w:pPr>
              <w:tabs>
                <w:tab w:val="num" w:pos="0"/>
              </w:tabs>
              <w:spacing w:before="200" w:after="0" w:line="276" w:lineRule="auto"/>
              <w:contextualSpacing/>
              <w:jc w:val="center"/>
              <w:rPr>
                <w:rFonts w:ascii="Arial" w:eastAsia="Calibri" w:hAnsi="Arial" w:cs="Arial"/>
                <w:color w:val="000000"/>
                <w:sz w:val="20"/>
                <w:szCs w:val="20"/>
                <w:lang w:val="en-AU"/>
              </w:rPr>
            </w:pPr>
            <w:r w:rsidRPr="006A68EF">
              <w:rPr>
                <w:rFonts w:ascii="Arial" w:eastAsia="Calibri" w:hAnsi="Arial" w:cs="Arial"/>
                <w:color w:val="000000"/>
                <w:sz w:val="20"/>
                <w:szCs w:val="20"/>
                <w:lang w:val="en-AU"/>
              </w:rPr>
              <w:t>2</w:t>
            </w:r>
          </w:p>
        </w:tc>
        <w:tc>
          <w:tcPr>
            <w:tcW w:w="990"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183/712 (25.7%)</w:t>
            </w:r>
          </w:p>
        </w:tc>
        <w:tc>
          <w:tcPr>
            <w:tcW w:w="972"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166/720 (23.1%)</w:t>
            </w:r>
          </w:p>
        </w:tc>
        <w:tc>
          <w:tcPr>
            <w:tcW w:w="558"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1.11</w:t>
            </w:r>
          </w:p>
        </w:tc>
        <w:tc>
          <w:tcPr>
            <w:tcW w:w="626"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0.92, 1.35</w:t>
            </w:r>
          </w:p>
        </w:tc>
        <w:tc>
          <w:tcPr>
            <w:tcW w:w="413"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0.46</w:t>
            </w:r>
          </w:p>
        </w:tc>
      </w:tr>
      <w:tr w:rsidR="006A68EF" w:rsidRPr="006A68EF" w:rsidTr="00B40223">
        <w:trPr>
          <w:cantSplit/>
        </w:trPr>
        <w:tc>
          <w:tcPr>
            <w:tcW w:w="1044"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Respiratory disease</w:t>
            </w:r>
          </w:p>
        </w:tc>
        <w:tc>
          <w:tcPr>
            <w:tcW w:w="397" w:type="pct"/>
            <w:shd w:val="clear" w:color="auto" w:fill="FFFFFF"/>
            <w:vAlign w:val="center"/>
          </w:tcPr>
          <w:p w:rsidR="006A68EF" w:rsidRPr="006A68EF" w:rsidRDefault="006A68EF" w:rsidP="006A68EF">
            <w:pPr>
              <w:tabs>
                <w:tab w:val="num" w:pos="0"/>
              </w:tabs>
              <w:spacing w:before="200" w:after="0" w:line="276" w:lineRule="auto"/>
              <w:contextualSpacing/>
              <w:jc w:val="center"/>
              <w:rPr>
                <w:rFonts w:ascii="Arial" w:eastAsia="Calibri" w:hAnsi="Arial" w:cs="Arial"/>
                <w:color w:val="000000"/>
                <w:sz w:val="20"/>
                <w:szCs w:val="20"/>
                <w:lang w:val="en-AU"/>
              </w:rPr>
            </w:pPr>
            <w:r w:rsidRPr="006A68EF">
              <w:rPr>
                <w:rFonts w:ascii="Arial" w:eastAsia="Calibri" w:hAnsi="Arial" w:cs="Arial"/>
                <w:color w:val="000000"/>
                <w:sz w:val="20"/>
                <w:szCs w:val="20"/>
                <w:lang w:val="en-AU"/>
              </w:rPr>
              <w:t>4</w:t>
            </w:r>
          </w:p>
        </w:tc>
        <w:tc>
          <w:tcPr>
            <w:tcW w:w="990"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426/1949 (21.9%)</w:t>
            </w:r>
          </w:p>
        </w:tc>
        <w:tc>
          <w:tcPr>
            <w:tcW w:w="972"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450/1941 (23.2%)</w:t>
            </w:r>
          </w:p>
        </w:tc>
        <w:tc>
          <w:tcPr>
            <w:tcW w:w="558"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0.96</w:t>
            </w:r>
          </w:p>
        </w:tc>
        <w:tc>
          <w:tcPr>
            <w:tcW w:w="626"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0.86, 1.08</w:t>
            </w:r>
          </w:p>
        </w:tc>
        <w:tc>
          <w:tcPr>
            <w:tcW w:w="413"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0.19</w:t>
            </w:r>
          </w:p>
        </w:tc>
      </w:tr>
      <w:tr w:rsidR="006A68EF" w:rsidRPr="006A68EF" w:rsidTr="00B40223">
        <w:trPr>
          <w:cantSplit/>
        </w:trPr>
        <w:tc>
          <w:tcPr>
            <w:tcW w:w="1044"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Follow up blood pressure (systolic) (mmHg)#</w:t>
            </w:r>
          </w:p>
        </w:tc>
        <w:tc>
          <w:tcPr>
            <w:tcW w:w="397" w:type="pct"/>
            <w:shd w:val="clear" w:color="auto" w:fill="FFFFFF"/>
            <w:vAlign w:val="center"/>
          </w:tcPr>
          <w:p w:rsidR="006A68EF" w:rsidRPr="006A68EF" w:rsidRDefault="006A68EF" w:rsidP="006A68EF">
            <w:pPr>
              <w:tabs>
                <w:tab w:val="num" w:pos="0"/>
              </w:tabs>
              <w:spacing w:before="200" w:after="0" w:line="276" w:lineRule="auto"/>
              <w:contextualSpacing/>
              <w:jc w:val="center"/>
              <w:rPr>
                <w:rFonts w:ascii="Arial" w:eastAsia="Calibri" w:hAnsi="Arial" w:cs="Arial"/>
                <w:color w:val="000000"/>
                <w:sz w:val="20"/>
                <w:szCs w:val="20"/>
                <w:lang w:val="en-AU"/>
              </w:rPr>
            </w:pPr>
            <w:r w:rsidRPr="006A68EF">
              <w:rPr>
                <w:rFonts w:ascii="Arial" w:eastAsia="Calibri" w:hAnsi="Arial" w:cs="Arial"/>
                <w:color w:val="000000"/>
                <w:sz w:val="20"/>
                <w:szCs w:val="20"/>
                <w:lang w:val="en-AU"/>
              </w:rPr>
              <w:t>2</w:t>
            </w:r>
          </w:p>
        </w:tc>
        <w:tc>
          <w:tcPr>
            <w:tcW w:w="990"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n=544, 91.5 (0.56)</w:t>
            </w:r>
          </w:p>
        </w:tc>
        <w:tc>
          <w:tcPr>
            <w:tcW w:w="972"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n=557, 93.0 (0.57)</w:t>
            </w:r>
          </w:p>
        </w:tc>
        <w:tc>
          <w:tcPr>
            <w:tcW w:w="558"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sz w:val="20"/>
                <w:szCs w:val="20"/>
                <w:lang w:val="en-AU"/>
              </w:rPr>
            </w:pPr>
            <w:r w:rsidRPr="006A68EF">
              <w:rPr>
                <w:rFonts w:ascii="Arial" w:eastAsia="Calibri" w:hAnsi="Arial" w:cs="Arial"/>
                <w:sz w:val="20"/>
                <w:szCs w:val="20"/>
                <w:lang w:val="en-AU"/>
              </w:rPr>
              <w:t>-1.73</w:t>
            </w:r>
          </w:p>
        </w:tc>
        <w:tc>
          <w:tcPr>
            <w:tcW w:w="626"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sz w:val="20"/>
                <w:szCs w:val="20"/>
                <w:lang w:val="en-AU"/>
              </w:rPr>
            </w:pPr>
            <w:r w:rsidRPr="006A68EF">
              <w:rPr>
                <w:rFonts w:ascii="Arial" w:eastAsia="Calibri" w:hAnsi="Arial" w:cs="Arial"/>
                <w:sz w:val="20"/>
                <w:szCs w:val="20"/>
                <w:lang w:val="en-AU"/>
              </w:rPr>
              <w:t>-3.39, -0.08</w:t>
            </w:r>
          </w:p>
        </w:tc>
        <w:tc>
          <w:tcPr>
            <w:tcW w:w="413"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0.18</w:t>
            </w:r>
          </w:p>
        </w:tc>
      </w:tr>
      <w:tr w:rsidR="006A68EF" w:rsidRPr="006A68EF" w:rsidTr="00B40223">
        <w:trPr>
          <w:cantSplit/>
        </w:trPr>
        <w:tc>
          <w:tcPr>
            <w:tcW w:w="1044"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 xml:space="preserve">Follow up blood pressure (diastolic) (mmHg)# </w:t>
            </w:r>
          </w:p>
        </w:tc>
        <w:tc>
          <w:tcPr>
            <w:tcW w:w="397" w:type="pct"/>
            <w:shd w:val="clear" w:color="auto" w:fill="FFFFFF"/>
            <w:vAlign w:val="center"/>
          </w:tcPr>
          <w:p w:rsidR="006A68EF" w:rsidRPr="006A68EF" w:rsidRDefault="006A68EF" w:rsidP="006A68EF">
            <w:pPr>
              <w:tabs>
                <w:tab w:val="num" w:pos="0"/>
              </w:tabs>
              <w:spacing w:before="200" w:after="0" w:line="276" w:lineRule="auto"/>
              <w:contextualSpacing/>
              <w:jc w:val="center"/>
              <w:rPr>
                <w:rFonts w:ascii="Arial" w:eastAsia="Calibri" w:hAnsi="Arial" w:cs="Arial"/>
                <w:color w:val="000000"/>
                <w:sz w:val="20"/>
                <w:szCs w:val="20"/>
                <w:lang w:val="en-AU"/>
              </w:rPr>
            </w:pPr>
            <w:r w:rsidRPr="006A68EF">
              <w:rPr>
                <w:rFonts w:ascii="Arial" w:eastAsia="Calibri" w:hAnsi="Arial" w:cs="Arial"/>
                <w:color w:val="000000"/>
                <w:sz w:val="20"/>
                <w:szCs w:val="20"/>
                <w:lang w:val="en-AU"/>
              </w:rPr>
              <w:t>2</w:t>
            </w:r>
          </w:p>
        </w:tc>
        <w:tc>
          <w:tcPr>
            <w:tcW w:w="990"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n=522  56.7 (0.44)</w:t>
            </w:r>
          </w:p>
        </w:tc>
        <w:tc>
          <w:tcPr>
            <w:tcW w:w="972"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n=544, 57.0 (0.47)</w:t>
            </w:r>
          </w:p>
        </w:tc>
        <w:tc>
          <w:tcPr>
            <w:tcW w:w="558"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-0.48</w:t>
            </w:r>
          </w:p>
        </w:tc>
        <w:tc>
          <w:tcPr>
            <w:tcW w:w="626"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-1.81, 0.84</w:t>
            </w:r>
          </w:p>
        </w:tc>
        <w:tc>
          <w:tcPr>
            <w:tcW w:w="413" w:type="pct"/>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0.35</w:t>
            </w:r>
          </w:p>
        </w:tc>
      </w:tr>
      <w:tr w:rsidR="006A68EF" w:rsidRPr="006A68EF" w:rsidTr="00B40223">
        <w:trPr>
          <w:cantSplit/>
        </w:trPr>
        <w:tc>
          <w:tcPr>
            <w:tcW w:w="1044" w:type="pct"/>
            <w:tcBorders>
              <w:bottom w:val="single" w:sz="4" w:space="0" w:color="auto"/>
            </w:tcBorders>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 xml:space="preserve">Follow up blood pressure (mean arterial) (mmHg)#                </w:t>
            </w:r>
          </w:p>
        </w:tc>
        <w:tc>
          <w:tcPr>
            <w:tcW w:w="397" w:type="pct"/>
            <w:tcBorders>
              <w:bottom w:val="single" w:sz="4" w:space="0" w:color="auto"/>
            </w:tcBorders>
            <w:shd w:val="clear" w:color="auto" w:fill="FFFFFF"/>
            <w:vAlign w:val="center"/>
          </w:tcPr>
          <w:p w:rsidR="006A68EF" w:rsidRPr="006A68EF" w:rsidRDefault="006A68EF" w:rsidP="006A68EF">
            <w:pPr>
              <w:tabs>
                <w:tab w:val="num" w:pos="0"/>
              </w:tabs>
              <w:spacing w:before="200" w:after="0" w:line="276" w:lineRule="auto"/>
              <w:contextualSpacing/>
              <w:jc w:val="center"/>
              <w:rPr>
                <w:rFonts w:ascii="Arial" w:eastAsia="Calibri" w:hAnsi="Arial" w:cs="Arial"/>
                <w:color w:val="000000"/>
                <w:sz w:val="20"/>
                <w:szCs w:val="20"/>
                <w:lang w:val="en-AU"/>
              </w:rPr>
            </w:pPr>
            <w:r w:rsidRPr="006A68EF">
              <w:rPr>
                <w:rFonts w:ascii="Arial" w:eastAsia="Calibri" w:hAnsi="Arial" w:cs="Arial"/>
                <w:color w:val="000000"/>
                <w:sz w:val="20"/>
                <w:szCs w:val="20"/>
                <w:lang w:val="en-AU"/>
              </w:rPr>
              <w:t>2</w:t>
            </w:r>
          </w:p>
        </w:tc>
        <w:tc>
          <w:tcPr>
            <w:tcW w:w="990" w:type="pct"/>
            <w:tcBorders>
              <w:bottom w:val="single" w:sz="4" w:space="0" w:color="auto"/>
            </w:tcBorders>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n=518, 68.4 (0.45)</w:t>
            </w:r>
          </w:p>
        </w:tc>
        <w:tc>
          <w:tcPr>
            <w:tcW w:w="972" w:type="pct"/>
            <w:tcBorders>
              <w:bottom w:val="single" w:sz="4" w:space="0" w:color="auto"/>
            </w:tcBorders>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n=538, 69.0 (0.46)</w:t>
            </w:r>
          </w:p>
        </w:tc>
        <w:tc>
          <w:tcPr>
            <w:tcW w:w="558" w:type="pct"/>
            <w:tcBorders>
              <w:bottom w:val="single" w:sz="4" w:space="0" w:color="auto"/>
            </w:tcBorders>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-0.80</w:t>
            </w:r>
          </w:p>
        </w:tc>
        <w:tc>
          <w:tcPr>
            <w:tcW w:w="626" w:type="pct"/>
            <w:tcBorders>
              <w:bottom w:val="single" w:sz="4" w:space="0" w:color="auto"/>
            </w:tcBorders>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-2.13, 0.53</w:t>
            </w:r>
          </w:p>
        </w:tc>
        <w:tc>
          <w:tcPr>
            <w:tcW w:w="413" w:type="pct"/>
            <w:tcBorders>
              <w:bottom w:val="single" w:sz="4" w:space="0" w:color="auto"/>
            </w:tcBorders>
            <w:shd w:val="clear" w:color="auto" w:fill="FFFFFF"/>
            <w:tcMar>
              <w:left w:w="67" w:type="dxa"/>
              <w:right w:w="67" w:type="dxa"/>
            </w:tcMar>
            <w:vAlign w:val="center"/>
          </w:tcPr>
          <w:p w:rsidR="006A68EF" w:rsidRPr="006A68EF" w:rsidRDefault="006A68EF" w:rsidP="006A68EF">
            <w:pPr>
              <w:tabs>
                <w:tab w:val="num" w:pos="0"/>
              </w:tabs>
              <w:spacing w:before="200" w:after="0" w:line="276" w:lineRule="auto"/>
              <w:contextualSpacing/>
              <w:rPr>
                <w:rFonts w:ascii="Arial" w:eastAsia="Calibri" w:hAnsi="Arial" w:cs="Arial"/>
                <w:color w:val="000000"/>
                <w:sz w:val="20"/>
                <w:szCs w:val="20"/>
                <w:lang w:val="en-AU"/>
              </w:rPr>
            </w:pPr>
            <w:r w:rsidRPr="006A68EF">
              <w:rPr>
                <w:rFonts w:ascii="Arial" w:eastAsia="Calibri" w:hAnsi="Arial" w:cs="Arial"/>
                <w:color w:val="000000"/>
                <w:sz w:val="20"/>
                <w:szCs w:val="20"/>
                <w:lang w:val="en-AU"/>
              </w:rPr>
              <w:t>0.19</w:t>
            </w:r>
          </w:p>
        </w:tc>
      </w:tr>
    </w:tbl>
    <w:p w:rsidR="006A68EF" w:rsidRPr="006A68EF" w:rsidRDefault="006A68EF" w:rsidP="006A68EF">
      <w:pPr>
        <w:spacing w:before="200" w:after="0" w:line="276" w:lineRule="auto"/>
        <w:contextualSpacing/>
        <w:rPr>
          <w:rFonts w:ascii="Arial" w:eastAsia="Calibri" w:hAnsi="Arial" w:cs="Arial"/>
          <w:sz w:val="20"/>
          <w:szCs w:val="20"/>
          <w:lang w:val="en-US"/>
        </w:rPr>
      </w:pPr>
      <w:r w:rsidRPr="006A68EF">
        <w:rPr>
          <w:rFonts w:ascii="Arial" w:eastAsia="Calibri" w:hAnsi="Arial" w:cs="Arial"/>
          <w:sz w:val="20"/>
          <w:szCs w:val="20"/>
          <w:lang w:val="en-US"/>
        </w:rPr>
        <w:t>Figures are numbers (percentages) with relative risk (RR) and 95% confidence interval (CI) as treatment effect; or # mean and standard deviation, with adjusted mean difference as treatment effect and 95% confidence interval.</w:t>
      </w:r>
    </w:p>
    <w:p w:rsidR="006A68EF" w:rsidRPr="006A68EF" w:rsidRDefault="006A68EF" w:rsidP="006A68EF">
      <w:pPr>
        <w:spacing w:before="200" w:after="0" w:line="276" w:lineRule="auto"/>
        <w:contextualSpacing/>
        <w:rPr>
          <w:rFonts w:ascii="Arial" w:eastAsia="Calibri" w:hAnsi="Arial" w:cs="Arial"/>
          <w:sz w:val="20"/>
          <w:szCs w:val="20"/>
          <w:lang w:val="en-AU"/>
        </w:rPr>
      </w:pPr>
      <w:r w:rsidRPr="006A68EF">
        <w:rPr>
          <w:rFonts w:ascii="Arial" w:eastAsia="Calibri" w:hAnsi="Arial" w:cs="Arial"/>
          <w:sz w:val="20"/>
          <w:szCs w:val="20"/>
          <w:lang w:val="en-US"/>
        </w:rPr>
        <w:t xml:space="preserve">* Heterogeneity p values </w:t>
      </w:r>
    </w:p>
    <w:p w:rsidR="00AD4D93" w:rsidRPr="006A68EF" w:rsidRDefault="00AD4D93" w:rsidP="00AD4D93">
      <w:pPr>
        <w:spacing w:before="200" w:after="0" w:line="276" w:lineRule="auto"/>
        <w:contextualSpacing/>
        <w:rPr>
          <w:rFonts w:ascii="Arial" w:eastAsia="Calibri" w:hAnsi="Arial" w:cs="Arial"/>
          <w:sz w:val="20"/>
          <w:szCs w:val="20"/>
          <w:lang w:val="en-AU"/>
        </w:rPr>
      </w:pPr>
      <w:r>
        <w:rPr>
          <w:rFonts w:ascii="Arial" w:eastAsia="Calibri" w:hAnsi="Arial" w:cs="Arial"/>
          <w:sz w:val="20"/>
          <w:szCs w:val="20"/>
          <w:lang w:val="en-AU"/>
        </w:rPr>
        <w:t>**</w:t>
      </w:r>
      <w:bookmarkStart w:id="0" w:name="_GoBack"/>
      <w:bookmarkEnd w:id="0"/>
      <w:r w:rsidRPr="006A68EF">
        <w:rPr>
          <w:rFonts w:ascii="Arial" w:eastAsia="Calibri" w:hAnsi="Arial" w:cs="Arial"/>
          <w:sz w:val="20"/>
          <w:szCs w:val="20"/>
          <w:lang w:val="en-AU"/>
        </w:rPr>
        <w:t xml:space="preserve"> Defined as mild, moderate or severe by </w:t>
      </w:r>
      <w:proofErr w:type="spellStart"/>
      <w:r w:rsidRPr="006A68EF">
        <w:rPr>
          <w:rFonts w:ascii="Arial" w:eastAsia="Calibri" w:hAnsi="Arial" w:cs="Arial"/>
          <w:sz w:val="20"/>
          <w:szCs w:val="20"/>
          <w:lang w:val="en-AU"/>
        </w:rPr>
        <w:t>trialists</w:t>
      </w:r>
      <w:proofErr w:type="spellEnd"/>
      <w:r w:rsidRPr="006A68EF">
        <w:rPr>
          <w:rFonts w:ascii="Arial" w:eastAsia="Calibri" w:hAnsi="Arial" w:cs="Arial"/>
          <w:sz w:val="20"/>
          <w:szCs w:val="20"/>
          <w:lang w:val="en-AU"/>
        </w:rPr>
        <w:t xml:space="preserve"> or by the Gross Motor Classification System (score 1 to 5).</w:t>
      </w:r>
    </w:p>
    <w:p w:rsidR="006A68EF" w:rsidRPr="006A68EF" w:rsidRDefault="006A68EF" w:rsidP="006A68EF">
      <w:pPr>
        <w:spacing w:before="200" w:after="0" w:line="276" w:lineRule="auto"/>
        <w:contextualSpacing/>
        <w:rPr>
          <w:rFonts w:ascii="Arial" w:eastAsia="Calibri" w:hAnsi="Arial" w:cs="Arial"/>
          <w:sz w:val="20"/>
          <w:szCs w:val="20"/>
          <w:lang w:val="en-AU"/>
        </w:rPr>
      </w:pPr>
      <w:r w:rsidRPr="006A68EF">
        <w:rPr>
          <w:rFonts w:ascii="Arial" w:eastAsia="Calibri" w:hAnsi="Arial" w:cs="Arial"/>
          <w:sz w:val="20"/>
          <w:szCs w:val="20"/>
          <w:lang w:val="en-US"/>
        </w:rPr>
        <w:t>*** Defined as developmental delay or intellectual impairment (developmental quotient or intelligence quotient more than one standard deviation below the mean), cerebral palsy (abnormality of tone with motor dysfunction), blindness or deafness, at follow up later in childhood.</w:t>
      </w:r>
    </w:p>
    <w:p w:rsidR="006A68EF" w:rsidRPr="006A68EF" w:rsidRDefault="006A68EF" w:rsidP="006A68EF">
      <w:pPr>
        <w:spacing w:before="200" w:after="0" w:line="276" w:lineRule="auto"/>
        <w:contextualSpacing/>
        <w:rPr>
          <w:rFonts w:ascii="Arial" w:eastAsia="Calibri" w:hAnsi="Arial" w:cs="Arial"/>
          <w:sz w:val="20"/>
          <w:szCs w:val="20"/>
          <w:lang w:val="en-AU"/>
        </w:rPr>
      </w:pPr>
      <w:r w:rsidRPr="006A68EF">
        <w:rPr>
          <w:rFonts w:ascii="Arial" w:eastAsia="Calibri" w:hAnsi="Arial" w:cs="Arial"/>
          <w:sz w:val="20"/>
          <w:szCs w:val="20"/>
          <w:lang w:val="en-US"/>
        </w:rPr>
        <w:t>† Defined as moderate or severe neurosensory impairment</w:t>
      </w:r>
    </w:p>
    <w:p w:rsidR="00277D15" w:rsidRDefault="00277D15"/>
    <w:sectPr w:rsidR="00277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EF"/>
    <w:rsid w:val="000013BD"/>
    <w:rsid w:val="000108B3"/>
    <w:rsid w:val="000254B6"/>
    <w:rsid w:val="000410F3"/>
    <w:rsid w:val="00042A2A"/>
    <w:rsid w:val="00042B21"/>
    <w:rsid w:val="00054387"/>
    <w:rsid w:val="0007335F"/>
    <w:rsid w:val="000813B5"/>
    <w:rsid w:val="000931EC"/>
    <w:rsid w:val="000A4A65"/>
    <w:rsid w:val="000A7ABF"/>
    <w:rsid w:val="000A7D16"/>
    <w:rsid w:val="000B0609"/>
    <w:rsid w:val="000D6B5D"/>
    <w:rsid w:val="000F165F"/>
    <w:rsid w:val="000F5895"/>
    <w:rsid w:val="00106C2E"/>
    <w:rsid w:val="0011517D"/>
    <w:rsid w:val="001237DF"/>
    <w:rsid w:val="0012448B"/>
    <w:rsid w:val="00164693"/>
    <w:rsid w:val="00175CBC"/>
    <w:rsid w:val="0018690D"/>
    <w:rsid w:val="00187CB6"/>
    <w:rsid w:val="001962CD"/>
    <w:rsid w:val="001A0CD3"/>
    <w:rsid w:val="001A7B85"/>
    <w:rsid w:val="001B74A4"/>
    <w:rsid w:val="001C2543"/>
    <w:rsid w:val="001D5B7D"/>
    <w:rsid w:val="001F1F49"/>
    <w:rsid w:val="001F578A"/>
    <w:rsid w:val="00207B11"/>
    <w:rsid w:val="00210F65"/>
    <w:rsid w:val="00221EB8"/>
    <w:rsid w:val="00225AB2"/>
    <w:rsid w:val="00225B81"/>
    <w:rsid w:val="00232F85"/>
    <w:rsid w:val="002401E7"/>
    <w:rsid w:val="00241F3E"/>
    <w:rsid w:val="00246B9D"/>
    <w:rsid w:val="00260C53"/>
    <w:rsid w:val="00264C28"/>
    <w:rsid w:val="00277D15"/>
    <w:rsid w:val="00280102"/>
    <w:rsid w:val="0028534C"/>
    <w:rsid w:val="002A4645"/>
    <w:rsid w:val="002A47D3"/>
    <w:rsid w:val="002B46A2"/>
    <w:rsid w:val="002C4A87"/>
    <w:rsid w:val="002D7E16"/>
    <w:rsid w:val="002E0C6C"/>
    <w:rsid w:val="002E17D0"/>
    <w:rsid w:val="002E3D21"/>
    <w:rsid w:val="002F2598"/>
    <w:rsid w:val="00307B4D"/>
    <w:rsid w:val="00315200"/>
    <w:rsid w:val="00330851"/>
    <w:rsid w:val="003545C3"/>
    <w:rsid w:val="00355905"/>
    <w:rsid w:val="00355D95"/>
    <w:rsid w:val="00357BD4"/>
    <w:rsid w:val="0037085B"/>
    <w:rsid w:val="00384BDD"/>
    <w:rsid w:val="003A0689"/>
    <w:rsid w:val="003D439F"/>
    <w:rsid w:val="003E7152"/>
    <w:rsid w:val="003F50C4"/>
    <w:rsid w:val="00403C01"/>
    <w:rsid w:val="00407494"/>
    <w:rsid w:val="004135D0"/>
    <w:rsid w:val="004242DF"/>
    <w:rsid w:val="00432251"/>
    <w:rsid w:val="00434B58"/>
    <w:rsid w:val="0045753D"/>
    <w:rsid w:val="00480E88"/>
    <w:rsid w:val="004B02DA"/>
    <w:rsid w:val="004C4B48"/>
    <w:rsid w:val="004C5DF0"/>
    <w:rsid w:val="004C67A3"/>
    <w:rsid w:val="004D26B0"/>
    <w:rsid w:val="004D358C"/>
    <w:rsid w:val="004D3658"/>
    <w:rsid w:val="004D6151"/>
    <w:rsid w:val="004E06B7"/>
    <w:rsid w:val="004E07AF"/>
    <w:rsid w:val="004E7048"/>
    <w:rsid w:val="004F03C9"/>
    <w:rsid w:val="0050422F"/>
    <w:rsid w:val="00514505"/>
    <w:rsid w:val="0054176B"/>
    <w:rsid w:val="00567963"/>
    <w:rsid w:val="005A476A"/>
    <w:rsid w:val="005B1314"/>
    <w:rsid w:val="005F1840"/>
    <w:rsid w:val="006012D3"/>
    <w:rsid w:val="00622B7E"/>
    <w:rsid w:val="00632153"/>
    <w:rsid w:val="00633DC9"/>
    <w:rsid w:val="00635165"/>
    <w:rsid w:val="006354EE"/>
    <w:rsid w:val="006500B3"/>
    <w:rsid w:val="00650853"/>
    <w:rsid w:val="00653923"/>
    <w:rsid w:val="006A68EF"/>
    <w:rsid w:val="006A74E2"/>
    <w:rsid w:val="006E3D85"/>
    <w:rsid w:val="00702B5E"/>
    <w:rsid w:val="00717096"/>
    <w:rsid w:val="0073341A"/>
    <w:rsid w:val="00735EDF"/>
    <w:rsid w:val="0074318D"/>
    <w:rsid w:val="00743ED8"/>
    <w:rsid w:val="00745AF6"/>
    <w:rsid w:val="0078004F"/>
    <w:rsid w:val="007A4303"/>
    <w:rsid w:val="007A7ACB"/>
    <w:rsid w:val="007B0373"/>
    <w:rsid w:val="007C198E"/>
    <w:rsid w:val="007E016A"/>
    <w:rsid w:val="007E51EF"/>
    <w:rsid w:val="008006E7"/>
    <w:rsid w:val="00821037"/>
    <w:rsid w:val="00827EF4"/>
    <w:rsid w:val="00831C0B"/>
    <w:rsid w:val="008504C6"/>
    <w:rsid w:val="00854FCA"/>
    <w:rsid w:val="008615F1"/>
    <w:rsid w:val="008737A7"/>
    <w:rsid w:val="00893B30"/>
    <w:rsid w:val="0089792C"/>
    <w:rsid w:val="008A3480"/>
    <w:rsid w:val="008B48C1"/>
    <w:rsid w:val="008B5FDE"/>
    <w:rsid w:val="008D02D2"/>
    <w:rsid w:val="008E4E29"/>
    <w:rsid w:val="00902E0D"/>
    <w:rsid w:val="00912E6B"/>
    <w:rsid w:val="0092598D"/>
    <w:rsid w:val="00937402"/>
    <w:rsid w:val="0094439E"/>
    <w:rsid w:val="00944F62"/>
    <w:rsid w:val="0095084D"/>
    <w:rsid w:val="00954838"/>
    <w:rsid w:val="00962C2B"/>
    <w:rsid w:val="00966718"/>
    <w:rsid w:val="00971D1D"/>
    <w:rsid w:val="0099245B"/>
    <w:rsid w:val="00993C08"/>
    <w:rsid w:val="009D3B47"/>
    <w:rsid w:val="009D4449"/>
    <w:rsid w:val="009D527A"/>
    <w:rsid w:val="00A21192"/>
    <w:rsid w:val="00A25192"/>
    <w:rsid w:val="00A54175"/>
    <w:rsid w:val="00A67286"/>
    <w:rsid w:val="00A67933"/>
    <w:rsid w:val="00A76FDF"/>
    <w:rsid w:val="00A821D8"/>
    <w:rsid w:val="00A84BA6"/>
    <w:rsid w:val="00A937A2"/>
    <w:rsid w:val="00AC1AFF"/>
    <w:rsid w:val="00AC232A"/>
    <w:rsid w:val="00AD4D93"/>
    <w:rsid w:val="00AF1E0C"/>
    <w:rsid w:val="00AF2B5C"/>
    <w:rsid w:val="00AF4101"/>
    <w:rsid w:val="00B308A2"/>
    <w:rsid w:val="00B32242"/>
    <w:rsid w:val="00B51183"/>
    <w:rsid w:val="00B73C51"/>
    <w:rsid w:val="00B81314"/>
    <w:rsid w:val="00B84F79"/>
    <w:rsid w:val="00B961B9"/>
    <w:rsid w:val="00BB7AD4"/>
    <w:rsid w:val="00C04559"/>
    <w:rsid w:val="00C201D3"/>
    <w:rsid w:val="00C24ECC"/>
    <w:rsid w:val="00C45EE8"/>
    <w:rsid w:val="00C4773C"/>
    <w:rsid w:val="00C6465B"/>
    <w:rsid w:val="00C80632"/>
    <w:rsid w:val="00CA23A6"/>
    <w:rsid w:val="00CB62DF"/>
    <w:rsid w:val="00CC1715"/>
    <w:rsid w:val="00CC6182"/>
    <w:rsid w:val="00CD0336"/>
    <w:rsid w:val="00CD4B26"/>
    <w:rsid w:val="00D10384"/>
    <w:rsid w:val="00D11B68"/>
    <w:rsid w:val="00D15A88"/>
    <w:rsid w:val="00D25DC5"/>
    <w:rsid w:val="00D30D8D"/>
    <w:rsid w:val="00D40AFD"/>
    <w:rsid w:val="00D4794C"/>
    <w:rsid w:val="00D50349"/>
    <w:rsid w:val="00D51C6D"/>
    <w:rsid w:val="00D63796"/>
    <w:rsid w:val="00D73997"/>
    <w:rsid w:val="00D812AB"/>
    <w:rsid w:val="00D825DE"/>
    <w:rsid w:val="00D84CA1"/>
    <w:rsid w:val="00DC7AAB"/>
    <w:rsid w:val="00DD699F"/>
    <w:rsid w:val="00DE0CC2"/>
    <w:rsid w:val="00DE4AB0"/>
    <w:rsid w:val="00DE4B62"/>
    <w:rsid w:val="00DE7D84"/>
    <w:rsid w:val="00DF1F7F"/>
    <w:rsid w:val="00E06A9C"/>
    <w:rsid w:val="00E17958"/>
    <w:rsid w:val="00E35B91"/>
    <w:rsid w:val="00E45E39"/>
    <w:rsid w:val="00E50D82"/>
    <w:rsid w:val="00E54E01"/>
    <w:rsid w:val="00E63C19"/>
    <w:rsid w:val="00E8768B"/>
    <w:rsid w:val="00EA5FA9"/>
    <w:rsid w:val="00EB656D"/>
    <w:rsid w:val="00ED4685"/>
    <w:rsid w:val="00EE752E"/>
    <w:rsid w:val="00EF748B"/>
    <w:rsid w:val="00F014F4"/>
    <w:rsid w:val="00F20406"/>
    <w:rsid w:val="00F35F43"/>
    <w:rsid w:val="00F50DDF"/>
    <w:rsid w:val="00F5145C"/>
    <w:rsid w:val="00F56F8E"/>
    <w:rsid w:val="00FA449E"/>
    <w:rsid w:val="00FA57DD"/>
    <w:rsid w:val="00FD2B69"/>
    <w:rsid w:val="00FD3899"/>
    <w:rsid w:val="00FD5A98"/>
    <w:rsid w:val="00FE0F40"/>
    <w:rsid w:val="00FF55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85C1"/>
  <w15:chartTrackingRefBased/>
  <w15:docId w15:val="{973B0088-68F0-46B7-BCC4-32859A0D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15"/>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May</dc:creator>
  <cp:keywords/>
  <dc:description/>
  <cp:lastModifiedBy>Robyn May</cp:lastModifiedBy>
  <cp:revision>2</cp:revision>
  <dcterms:created xsi:type="dcterms:W3CDTF">2018-12-19T23:28:00Z</dcterms:created>
  <dcterms:modified xsi:type="dcterms:W3CDTF">2019-01-24T23:03:00Z</dcterms:modified>
</cp:coreProperties>
</file>