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6F4D2" w14:textId="1496100A" w:rsidR="00F17E5D" w:rsidRPr="0019371D" w:rsidRDefault="00F17E5D" w:rsidP="00F17E5D">
      <w:pPr>
        <w:spacing w:line="360" w:lineRule="auto"/>
        <w:rPr>
          <w:rFonts w:ascii="Times New Roman" w:hAnsi="Times New Roman"/>
        </w:rPr>
      </w:pPr>
      <w:r>
        <w:rPr>
          <w:rFonts w:ascii="Times New Roman" w:hAnsi="Times New Roman"/>
          <w:u w:val="single"/>
        </w:rPr>
        <w:t>S4 Table</w:t>
      </w:r>
      <w:r w:rsidRPr="0019371D">
        <w:rPr>
          <w:rFonts w:ascii="Times New Roman" w:hAnsi="Times New Roman"/>
          <w:u w:val="single"/>
        </w:rPr>
        <w:t>:</w:t>
      </w:r>
      <w:r w:rsidRPr="0019371D">
        <w:rPr>
          <w:rFonts w:ascii="Times New Roman" w:hAnsi="Times New Roman"/>
        </w:rPr>
        <w:t xml:space="preserve"> Impact inventory for elements included and not included in the cost-effectiveness analysis of electronic debit card delivery of food aid (“e-vouchers”), versus traditional food parcel delivery (“in-kind” food aid). The impact inventory is based on the template provided in the 2016 Recommendations from the Second Panel on Cost-effectiveness in Health and Medicine</w:t>
      </w:r>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{"citationID":"27j795phob","citationItems":[{"id":"ITEM-1","itemData":{"DOI":"10.1001/jama.2016.12195","ISBN":"1538-3598","abstract":"IMPORTANCE: Since publication of the report by the Panel on Cost-Effectiveness in Health and Medicine in 1996, researchers have advanced the methods of cost-effectiveness analysis, and policy makers have experimented with its application. The need to deliver health care efficiently and the importance of using analytic techniques to understand the clinical and economic consequences of strategies to improve health have increased in recent years. OBJECTIVE: To review the state of the field and provide recommendations to improve the quality of cost-effectiveness analyses. The intended audiences include researchers, government policy makers, public health officials, health care administrators, payers, businesses, clinicians, patients, and consumers. DESIGN: In 2012, the Second Panel on Cost-Effectiveness in Health and Medicine was formed and included 2 co-chairs, 13 members, and 3 additional members of a leadership group. These members were selected on the basis of their experience in the field to provide broad expertise in the design, conduct, and use of cost-effectiveness analyses. Over the next 3.5 years, the panel developed recommendations by consensus. These recommendations were then reviewed by invited external reviewers and through a public posting process. FINDINGS: The concept of a \"reference case\" and a set of standard methodological practices that all cost-effectiveness analyses should follow to improve quality and comparability are recommended. All cost-effectiveness analyses should report 2 reference case analyses: one based on a health care sector perspective and another based on a societal perspective. The use of an \"impact inventory,\" which is a structured table that contains consequences (both inside and outside the formal health care sector), intended to clarify the scope and boundaries of the 2 reference case analyses is also recommended. This special communication reviews these recommendations and others concerning the estimation of the consequences of interventions, the valuation of health outcomes, and the reporting of cost-effectiveness analyses. CONCLUSIONS AND RELEVANCE: The Second Panel reviewed the current status of the field of cost-effectiveness analysis and developed a new set of recommendations. Major changes include the recommendation to perform analyses from 2 reference case perspectives and to provide an impact inventory to clarify included consequences.","author":[{"dropping-particle":"","family":"Sanders","given":"Gillian D","non-dropping-particle":"","parse-names":false,"suffix":""},{"dropping-particle":"","family":"Neumann","given":"Peter J","non-dropping-particle":"","parse-names":false,"suffix":""},{"dropping-particle":"","family":"Basu","given":"Anirban","non-dropping-particle":"","parse-names":false,"suffix":""},{"dropping-particle":"","family":"Brock","given":"Dan W","non-dropping-particle":"","parse-names":false,"suffix":""},{"dropping-particle":"","family":"Feeny","given":"David","non-dropping-particle":"","parse-names":false,"suffix":""},{"dropping-particle":"","family":"Krahn","given":"Murray","non-dropping-particle":"","parse-names":false,"suffix":""},{"dropping-particle":"","family":"Kuntz","given":"Karen M","non-dropping-particle":"","parse-names":false,"suffix":""},{"dropping-particle":"","family":"Meltzer","given":"David O","non-dropping-particle":"","parse-names":false,"suffix":""},{"dropping-particle":"","family":"Owens","given":"Douglas K","non-dropping-particle":"","parse-names":false,"suffix":""},{"dropping-particle":"","family":"Prosser","given":"Lisa A","non-dropping-particle":"","parse-names":false,"suffix":""},{"dropping-particle":"","family":"Salomon","given":"Joshua A","non-dropping-particle":"","parse-names":false,"suffix":""},{"dropping-particle":"","family":"Sculpher","given":"Mark J","non-dropping-particle":"","parse-names":false,"suffix":""},{"dropping-particle":"","family":"Trikalinos","given":"Thomas A","non-dropping-particle":"","parse-names":false,"suffix":""},{"dropping-particle":"","family":"Russell","given":"Louise B","non-dropping-particle":"","parse-names":false,"suffix":""},{"dropping-particle":"","family":"Siegel","given":"Joanna E","non-dropping-particle":"","parse-names":false,"suffix":""},{"dropping-particle":"","family":"Ganiats","given":"Theodore G","non-dropping-particle":"","parse-names":false,"suffix":""}],"container-title":"JAMA","id":"ITEM-1","issue":"10","issued":{"date-parts":[["2016"]]},"language":"eng","page":"1093-1103","title":"Recommendations for Conduct, Methodological Practices, and Reporting of Cost-effectiveness Analyses: Second Panel on Cost-Effectiveness in Health and Medicine","title-short":"Recommendations for Conduct, Methodological Practi","type":"article-journal","volume":"316"},"uris":["http://www.mendeley.com/documents/?uuid=f121396f-fb14-4ef0-b24c-a13639493183"]}],"mendeley":{"formattedCitation":"&lt;sup&gt;1&lt;/sup&gt;","plainTextFormattedCitation":"1","previouslyFormattedCitation":"[46]"},"properties":{"formattedCitation":"[44]","noteIndex":0,"plainCitation":"[44]"},"schema":"https://github.com/citation-style-language/schema/raw/master/csl-citation.json"}</w:instrText>
      </w:r>
      <w:r>
        <w:rPr>
          <w:rFonts w:ascii="Times New Roman" w:hAnsi="Times New Roman"/>
        </w:rPr>
        <w:fldChar w:fldCharType="separate"/>
      </w:r>
      <w:r w:rsidRPr="00F17E5D">
        <w:rPr>
          <w:rFonts w:ascii="Times New Roman" w:hAnsi="Times New Roman"/>
          <w:noProof/>
          <w:vertAlign w:val="superscript"/>
        </w:rPr>
        <w:t>1</w:t>
      </w:r>
      <w:r>
        <w:rPr>
          <w:rFonts w:ascii="Times New Roman" w:hAnsi="Times New Roman"/>
        </w:rPr>
        <w:fldChar w:fldCharType="end"/>
      </w:r>
      <w:r w:rsidRPr="0019371D">
        <w:rPr>
          <w:rFonts w:ascii="Times New Roman" w:hAnsi="Times New Roman"/>
        </w:rPr>
        <w:t>.</w:t>
      </w:r>
      <w:bookmarkStart w:id="0" w:name="_GoBack"/>
      <w:bookmarkEnd w:id="0"/>
    </w:p>
    <w:p w14:paraId="233B14ED" w14:textId="77777777" w:rsidR="00F17E5D" w:rsidRPr="0019371D" w:rsidRDefault="00F17E5D" w:rsidP="00F17E5D">
      <w:pPr>
        <w:spacing w:line="360" w:lineRule="auto"/>
        <w:rPr>
          <w:rFonts w:ascii="Times New Roman" w:hAnsi="Times New Roman"/>
        </w:rPr>
      </w:pPr>
    </w:p>
    <w:tbl>
      <w:tblPr>
        <w:tblStyle w:val="PlainTable21"/>
        <w:tblW w:w="0" w:type="auto"/>
        <w:tblLook w:val="04A0" w:firstRow="1" w:lastRow="0" w:firstColumn="1" w:lastColumn="0" w:noHBand="0" w:noVBand="1"/>
      </w:tblPr>
      <w:tblGrid>
        <w:gridCol w:w="1578"/>
        <w:gridCol w:w="2410"/>
        <w:gridCol w:w="1460"/>
        <w:gridCol w:w="1015"/>
        <w:gridCol w:w="2897"/>
      </w:tblGrid>
      <w:tr w:rsidR="00F17E5D" w:rsidRPr="0019371D" w14:paraId="5AD1E6C3" w14:textId="77777777" w:rsidTr="00210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C9E8CA9" w14:textId="77777777" w:rsidR="00F17E5D" w:rsidRPr="0019371D" w:rsidRDefault="00F17E5D" w:rsidP="002106D3">
            <w:pPr>
              <w:spacing w:line="360" w:lineRule="auto"/>
              <w:jc w:val="center"/>
              <w:rPr>
                <w:rFonts w:ascii="Arial" w:hAnsi="Arial" w:cs="Arial"/>
              </w:rPr>
            </w:pPr>
            <w:r w:rsidRPr="0019371D">
              <w:rPr>
                <w:rFonts w:ascii="Arial" w:hAnsi="Arial" w:cs="Arial"/>
              </w:rPr>
              <w:t>Sector</w:t>
            </w:r>
          </w:p>
        </w:tc>
        <w:tc>
          <w:tcPr>
            <w:tcW w:w="0" w:type="auto"/>
            <w:vMerge w:val="restart"/>
          </w:tcPr>
          <w:p w14:paraId="5986EA96" w14:textId="77777777" w:rsidR="00F17E5D" w:rsidRPr="0019371D" w:rsidRDefault="00F17E5D" w:rsidP="002106D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Type of impact</w:t>
            </w:r>
          </w:p>
        </w:tc>
        <w:tc>
          <w:tcPr>
            <w:tcW w:w="0" w:type="auto"/>
            <w:gridSpan w:val="2"/>
          </w:tcPr>
          <w:p w14:paraId="27E2695D" w14:textId="77777777" w:rsidR="00F17E5D" w:rsidRPr="0019371D" w:rsidRDefault="00F17E5D" w:rsidP="002106D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Included in analysis from… perspective?</w:t>
            </w:r>
          </w:p>
        </w:tc>
        <w:tc>
          <w:tcPr>
            <w:tcW w:w="0" w:type="auto"/>
            <w:vMerge w:val="restart"/>
          </w:tcPr>
          <w:p w14:paraId="33F0EBB4" w14:textId="77777777" w:rsidR="00F17E5D" w:rsidRPr="0019371D" w:rsidRDefault="00F17E5D" w:rsidP="002106D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 xml:space="preserve">Sources of evidence </w:t>
            </w:r>
          </w:p>
          <w:p w14:paraId="3C8F26D7" w14:textId="77777777" w:rsidR="00F17E5D" w:rsidRPr="0019371D" w:rsidRDefault="00F17E5D" w:rsidP="002106D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(see Table 2)</w:t>
            </w:r>
          </w:p>
        </w:tc>
      </w:tr>
      <w:tr w:rsidR="00F17E5D" w:rsidRPr="0019371D" w14:paraId="0160D4F0"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18EACD1" w14:textId="77777777" w:rsidR="00F17E5D" w:rsidRPr="0019371D" w:rsidRDefault="00F17E5D" w:rsidP="002106D3">
            <w:pPr>
              <w:spacing w:line="360" w:lineRule="auto"/>
              <w:rPr>
                <w:rFonts w:ascii="Arial" w:hAnsi="Arial" w:cs="Arial"/>
                <w:b w:val="0"/>
              </w:rPr>
            </w:pPr>
          </w:p>
        </w:tc>
        <w:tc>
          <w:tcPr>
            <w:tcW w:w="0" w:type="auto"/>
            <w:vMerge/>
          </w:tcPr>
          <w:p w14:paraId="1988AFEF"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2BD22DC8"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Healthcare sector</w:t>
            </w:r>
          </w:p>
        </w:tc>
        <w:tc>
          <w:tcPr>
            <w:tcW w:w="0" w:type="auto"/>
          </w:tcPr>
          <w:p w14:paraId="39330FD9"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Societal</w:t>
            </w:r>
          </w:p>
        </w:tc>
        <w:tc>
          <w:tcPr>
            <w:tcW w:w="0" w:type="auto"/>
            <w:vMerge/>
          </w:tcPr>
          <w:p w14:paraId="76F3C887"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17E5D" w:rsidRPr="0019371D" w14:paraId="73247B38" w14:textId="77777777" w:rsidTr="002106D3">
        <w:tc>
          <w:tcPr>
            <w:cnfStyle w:val="001000000000" w:firstRow="0" w:lastRow="0" w:firstColumn="1" w:lastColumn="0" w:oddVBand="0" w:evenVBand="0" w:oddHBand="0" w:evenHBand="0" w:firstRowFirstColumn="0" w:firstRowLastColumn="0" w:lastRowFirstColumn="0" w:lastRowLastColumn="0"/>
            <w:tcW w:w="0" w:type="auto"/>
            <w:gridSpan w:val="5"/>
          </w:tcPr>
          <w:p w14:paraId="7AD5B242" w14:textId="77777777" w:rsidR="00F17E5D" w:rsidRPr="0019371D" w:rsidRDefault="00F17E5D" w:rsidP="002106D3">
            <w:pPr>
              <w:spacing w:line="360" w:lineRule="auto"/>
              <w:rPr>
                <w:rFonts w:ascii="Arial" w:hAnsi="Arial" w:cs="Arial"/>
              </w:rPr>
            </w:pPr>
            <w:r w:rsidRPr="0019371D">
              <w:rPr>
                <w:rFonts w:ascii="Arial" w:hAnsi="Arial" w:cs="Arial"/>
              </w:rPr>
              <w:t>Formal healthcare sector</w:t>
            </w:r>
          </w:p>
        </w:tc>
      </w:tr>
      <w:tr w:rsidR="00F17E5D" w:rsidRPr="0019371D" w14:paraId="2D33FE54"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99818A4" w14:textId="77777777" w:rsidR="00F17E5D" w:rsidRPr="0019371D" w:rsidRDefault="00F17E5D" w:rsidP="002106D3">
            <w:pPr>
              <w:spacing w:line="360" w:lineRule="auto"/>
              <w:rPr>
                <w:rFonts w:ascii="Arial" w:hAnsi="Arial" w:cs="Arial"/>
                <w:b w:val="0"/>
              </w:rPr>
            </w:pPr>
            <w:r w:rsidRPr="0019371D">
              <w:rPr>
                <w:rFonts w:ascii="Arial" w:hAnsi="Arial" w:cs="Arial"/>
                <w:b w:val="0"/>
              </w:rPr>
              <w:t>Health</w:t>
            </w:r>
          </w:p>
          <w:p w14:paraId="3AF62AD0" w14:textId="77777777" w:rsidR="00F17E5D" w:rsidRPr="0019371D" w:rsidRDefault="00F17E5D" w:rsidP="002106D3">
            <w:pPr>
              <w:spacing w:line="360" w:lineRule="auto"/>
              <w:rPr>
                <w:rFonts w:ascii="Arial" w:hAnsi="Arial" w:cs="Arial"/>
                <w:b w:val="0"/>
              </w:rPr>
            </w:pPr>
          </w:p>
        </w:tc>
        <w:tc>
          <w:tcPr>
            <w:tcW w:w="0" w:type="auto"/>
          </w:tcPr>
          <w:p w14:paraId="10D5423C"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r w:rsidRPr="0019371D">
              <w:rPr>
                <w:rFonts w:ascii="Arial" w:hAnsi="Arial" w:cs="Arial"/>
                <w:i/>
              </w:rPr>
              <w:t>Health outcomes (effects):</w:t>
            </w:r>
          </w:p>
        </w:tc>
        <w:tc>
          <w:tcPr>
            <w:tcW w:w="0" w:type="auto"/>
          </w:tcPr>
          <w:p w14:paraId="605AB503"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12DF1D4B"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0" w:type="auto"/>
          </w:tcPr>
          <w:p w14:paraId="14737AA0"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17E5D" w:rsidRPr="0019371D" w14:paraId="2C355BA9" w14:textId="77777777" w:rsidTr="002106D3">
        <w:tc>
          <w:tcPr>
            <w:cnfStyle w:val="001000000000" w:firstRow="0" w:lastRow="0" w:firstColumn="1" w:lastColumn="0" w:oddVBand="0" w:evenVBand="0" w:oddHBand="0" w:evenHBand="0" w:firstRowFirstColumn="0" w:firstRowLastColumn="0" w:lastRowFirstColumn="0" w:lastRowLastColumn="0"/>
            <w:tcW w:w="0" w:type="auto"/>
            <w:vMerge/>
          </w:tcPr>
          <w:p w14:paraId="3EB0AAD1" w14:textId="77777777" w:rsidR="00F17E5D" w:rsidRPr="0019371D" w:rsidRDefault="00F17E5D" w:rsidP="002106D3">
            <w:pPr>
              <w:spacing w:line="360" w:lineRule="auto"/>
              <w:rPr>
                <w:rFonts w:ascii="Arial" w:hAnsi="Arial" w:cs="Arial"/>
                <w:b w:val="0"/>
              </w:rPr>
            </w:pPr>
          </w:p>
        </w:tc>
        <w:tc>
          <w:tcPr>
            <w:tcW w:w="0" w:type="auto"/>
          </w:tcPr>
          <w:p w14:paraId="1A95E6A6"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 xml:space="preserve">  Longevity effects</w:t>
            </w:r>
          </w:p>
        </w:tc>
        <w:tc>
          <w:tcPr>
            <w:tcW w:w="0" w:type="auto"/>
          </w:tcPr>
          <w:p w14:paraId="03BE362A"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Yes</w:t>
            </w:r>
          </w:p>
        </w:tc>
        <w:tc>
          <w:tcPr>
            <w:tcW w:w="0" w:type="auto"/>
          </w:tcPr>
          <w:p w14:paraId="3330A427"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Yes</w:t>
            </w:r>
          </w:p>
        </w:tc>
        <w:tc>
          <w:tcPr>
            <w:tcW w:w="0" w:type="auto"/>
          </w:tcPr>
          <w:p w14:paraId="6C163D2A"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United Nations; Globorisk equations; and Risk Equations for Complications of Type 2 Diabetes Mellitus</w:t>
            </w:r>
          </w:p>
        </w:tc>
      </w:tr>
      <w:tr w:rsidR="00F17E5D" w:rsidRPr="0019371D" w14:paraId="5124D4A5"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60A2F59" w14:textId="77777777" w:rsidR="00F17E5D" w:rsidRPr="0019371D" w:rsidRDefault="00F17E5D" w:rsidP="002106D3">
            <w:pPr>
              <w:spacing w:line="360" w:lineRule="auto"/>
              <w:rPr>
                <w:rFonts w:ascii="Arial" w:hAnsi="Arial" w:cs="Arial"/>
                <w:b w:val="0"/>
              </w:rPr>
            </w:pPr>
          </w:p>
        </w:tc>
        <w:tc>
          <w:tcPr>
            <w:tcW w:w="0" w:type="auto"/>
          </w:tcPr>
          <w:p w14:paraId="1FC731B7"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 xml:space="preserve">  Health-related quality-of-life effects</w:t>
            </w:r>
          </w:p>
        </w:tc>
        <w:tc>
          <w:tcPr>
            <w:tcW w:w="0" w:type="auto"/>
          </w:tcPr>
          <w:p w14:paraId="37CAFECA"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Yes</w:t>
            </w:r>
          </w:p>
        </w:tc>
        <w:tc>
          <w:tcPr>
            <w:tcW w:w="0" w:type="auto"/>
          </w:tcPr>
          <w:p w14:paraId="019D65E6"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Yes</w:t>
            </w:r>
          </w:p>
        </w:tc>
        <w:tc>
          <w:tcPr>
            <w:tcW w:w="0" w:type="auto"/>
          </w:tcPr>
          <w:p w14:paraId="0E5AEC38"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Global Burden of Disease Study</w:t>
            </w:r>
          </w:p>
        </w:tc>
      </w:tr>
      <w:tr w:rsidR="00F17E5D" w:rsidRPr="0019371D" w14:paraId="1F26235A" w14:textId="77777777" w:rsidTr="002106D3">
        <w:trPr>
          <w:trHeight w:val="305"/>
        </w:trPr>
        <w:tc>
          <w:tcPr>
            <w:cnfStyle w:val="001000000000" w:firstRow="0" w:lastRow="0" w:firstColumn="1" w:lastColumn="0" w:oddVBand="0" w:evenVBand="0" w:oddHBand="0" w:evenHBand="0" w:firstRowFirstColumn="0" w:firstRowLastColumn="0" w:lastRowFirstColumn="0" w:lastRowLastColumn="0"/>
            <w:tcW w:w="0" w:type="auto"/>
            <w:vMerge/>
          </w:tcPr>
          <w:p w14:paraId="0CFE9B0B" w14:textId="77777777" w:rsidR="00F17E5D" w:rsidRPr="0019371D" w:rsidRDefault="00F17E5D" w:rsidP="002106D3">
            <w:pPr>
              <w:spacing w:line="360" w:lineRule="auto"/>
              <w:rPr>
                <w:rFonts w:ascii="Arial" w:hAnsi="Arial" w:cs="Arial"/>
                <w:b w:val="0"/>
              </w:rPr>
            </w:pPr>
          </w:p>
        </w:tc>
        <w:tc>
          <w:tcPr>
            <w:tcW w:w="0" w:type="auto"/>
          </w:tcPr>
          <w:p w14:paraId="1E8EAFBE"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rPr>
            </w:pPr>
            <w:r w:rsidRPr="0019371D">
              <w:rPr>
                <w:rFonts w:ascii="Arial" w:hAnsi="Arial" w:cs="Arial"/>
                <w:i/>
              </w:rPr>
              <w:t>Medical costs:</w:t>
            </w:r>
          </w:p>
        </w:tc>
        <w:tc>
          <w:tcPr>
            <w:tcW w:w="0" w:type="auto"/>
          </w:tcPr>
          <w:p w14:paraId="62F8CF15"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7E2D4845"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14:paraId="2A3A71A2"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17E5D" w:rsidRPr="0019371D" w14:paraId="2B75992A"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52702D3" w14:textId="77777777" w:rsidR="00F17E5D" w:rsidRPr="0019371D" w:rsidRDefault="00F17E5D" w:rsidP="002106D3">
            <w:pPr>
              <w:spacing w:line="360" w:lineRule="auto"/>
              <w:rPr>
                <w:rFonts w:ascii="Arial" w:hAnsi="Arial" w:cs="Arial"/>
                <w:b w:val="0"/>
              </w:rPr>
            </w:pPr>
          </w:p>
        </w:tc>
        <w:tc>
          <w:tcPr>
            <w:tcW w:w="0" w:type="auto"/>
          </w:tcPr>
          <w:p w14:paraId="14A404F0"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 xml:space="preserve">  Paid for by third-party payers</w:t>
            </w:r>
          </w:p>
        </w:tc>
        <w:tc>
          <w:tcPr>
            <w:tcW w:w="0" w:type="auto"/>
          </w:tcPr>
          <w:p w14:paraId="735E2C13"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Yes</w:t>
            </w:r>
          </w:p>
        </w:tc>
        <w:tc>
          <w:tcPr>
            <w:tcW w:w="0" w:type="auto"/>
          </w:tcPr>
          <w:p w14:paraId="7ECDBA47"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Yes</w:t>
            </w:r>
          </w:p>
        </w:tc>
        <w:tc>
          <w:tcPr>
            <w:tcW w:w="0" w:type="auto"/>
          </w:tcPr>
          <w:p w14:paraId="35702CDB"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United Nations; International Drug Price Indicator Guide</w:t>
            </w:r>
          </w:p>
        </w:tc>
      </w:tr>
      <w:tr w:rsidR="00F17E5D" w:rsidRPr="0019371D" w14:paraId="68EAA3DC" w14:textId="77777777" w:rsidTr="002106D3">
        <w:tc>
          <w:tcPr>
            <w:cnfStyle w:val="001000000000" w:firstRow="0" w:lastRow="0" w:firstColumn="1" w:lastColumn="0" w:oddVBand="0" w:evenVBand="0" w:oddHBand="0" w:evenHBand="0" w:firstRowFirstColumn="0" w:firstRowLastColumn="0" w:lastRowFirstColumn="0" w:lastRowLastColumn="0"/>
            <w:tcW w:w="0" w:type="auto"/>
            <w:vMerge/>
          </w:tcPr>
          <w:p w14:paraId="59819E4C" w14:textId="77777777" w:rsidR="00F17E5D" w:rsidRPr="0019371D" w:rsidRDefault="00F17E5D" w:rsidP="002106D3">
            <w:pPr>
              <w:spacing w:line="360" w:lineRule="auto"/>
              <w:rPr>
                <w:rFonts w:ascii="Arial" w:hAnsi="Arial" w:cs="Arial"/>
                <w:b w:val="0"/>
              </w:rPr>
            </w:pPr>
          </w:p>
        </w:tc>
        <w:tc>
          <w:tcPr>
            <w:tcW w:w="0" w:type="auto"/>
          </w:tcPr>
          <w:p w14:paraId="5CA2B2BB"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 xml:space="preserve">  Paid for by patients out-of-pocket</w:t>
            </w:r>
          </w:p>
        </w:tc>
        <w:tc>
          <w:tcPr>
            <w:tcW w:w="0" w:type="auto"/>
          </w:tcPr>
          <w:p w14:paraId="68AFAA11"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Yes</w:t>
            </w:r>
          </w:p>
        </w:tc>
        <w:tc>
          <w:tcPr>
            <w:tcW w:w="0" w:type="auto"/>
          </w:tcPr>
          <w:p w14:paraId="361C2ADD"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Yes</w:t>
            </w:r>
          </w:p>
        </w:tc>
        <w:tc>
          <w:tcPr>
            <w:tcW w:w="0" w:type="auto"/>
          </w:tcPr>
          <w:p w14:paraId="71A52E35"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United Nations; International Drug Price Indicator Guide</w:t>
            </w:r>
          </w:p>
        </w:tc>
      </w:tr>
      <w:tr w:rsidR="00F17E5D" w:rsidRPr="0019371D" w14:paraId="715E180D"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C9D0B76" w14:textId="77777777" w:rsidR="00F17E5D" w:rsidRPr="0019371D" w:rsidRDefault="00F17E5D" w:rsidP="002106D3">
            <w:pPr>
              <w:spacing w:line="360" w:lineRule="auto"/>
              <w:rPr>
                <w:rFonts w:ascii="Arial" w:hAnsi="Arial" w:cs="Arial"/>
                <w:b w:val="0"/>
              </w:rPr>
            </w:pPr>
          </w:p>
        </w:tc>
        <w:tc>
          <w:tcPr>
            <w:tcW w:w="0" w:type="auto"/>
          </w:tcPr>
          <w:p w14:paraId="7FCD6DDA"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 xml:space="preserve">  Future related medical costs (payers and patients)</w:t>
            </w:r>
          </w:p>
        </w:tc>
        <w:tc>
          <w:tcPr>
            <w:tcW w:w="0" w:type="auto"/>
          </w:tcPr>
          <w:p w14:paraId="06FC490C"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Yes</w:t>
            </w:r>
          </w:p>
        </w:tc>
        <w:tc>
          <w:tcPr>
            <w:tcW w:w="0" w:type="auto"/>
          </w:tcPr>
          <w:p w14:paraId="178B06C9"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Yes</w:t>
            </w:r>
          </w:p>
        </w:tc>
        <w:tc>
          <w:tcPr>
            <w:tcW w:w="0" w:type="auto"/>
          </w:tcPr>
          <w:p w14:paraId="4B90140D"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United Nations; International Drug Price Indicator Guide</w:t>
            </w:r>
          </w:p>
        </w:tc>
      </w:tr>
      <w:tr w:rsidR="00F17E5D" w:rsidRPr="0019371D" w14:paraId="27A4647E" w14:textId="77777777" w:rsidTr="002106D3">
        <w:tc>
          <w:tcPr>
            <w:cnfStyle w:val="001000000000" w:firstRow="0" w:lastRow="0" w:firstColumn="1" w:lastColumn="0" w:oddVBand="0" w:evenVBand="0" w:oddHBand="0" w:evenHBand="0" w:firstRowFirstColumn="0" w:firstRowLastColumn="0" w:lastRowFirstColumn="0" w:lastRowLastColumn="0"/>
            <w:tcW w:w="0" w:type="auto"/>
            <w:vMerge/>
          </w:tcPr>
          <w:p w14:paraId="41CDA90D" w14:textId="77777777" w:rsidR="00F17E5D" w:rsidRPr="0019371D" w:rsidRDefault="00F17E5D" w:rsidP="002106D3">
            <w:pPr>
              <w:spacing w:line="360" w:lineRule="auto"/>
              <w:rPr>
                <w:rFonts w:ascii="Arial" w:hAnsi="Arial" w:cs="Arial"/>
                <w:b w:val="0"/>
              </w:rPr>
            </w:pPr>
          </w:p>
        </w:tc>
        <w:tc>
          <w:tcPr>
            <w:tcW w:w="0" w:type="auto"/>
          </w:tcPr>
          <w:p w14:paraId="09DB3B28"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 xml:space="preserve">  Future unrelated medical costs (payers and patients)</w:t>
            </w:r>
          </w:p>
        </w:tc>
        <w:tc>
          <w:tcPr>
            <w:tcW w:w="0" w:type="auto"/>
          </w:tcPr>
          <w:p w14:paraId="3A79226E"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Yes</w:t>
            </w:r>
          </w:p>
        </w:tc>
        <w:tc>
          <w:tcPr>
            <w:tcW w:w="0" w:type="auto"/>
          </w:tcPr>
          <w:p w14:paraId="542AB8F1"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Yes</w:t>
            </w:r>
          </w:p>
        </w:tc>
        <w:tc>
          <w:tcPr>
            <w:tcW w:w="0" w:type="auto"/>
          </w:tcPr>
          <w:p w14:paraId="0605CD5F"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United Nations; International Drug Price Indicator Guide</w:t>
            </w:r>
          </w:p>
        </w:tc>
      </w:tr>
      <w:tr w:rsidR="00F17E5D" w:rsidRPr="0019371D" w14:paraId="44AFF314"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Pr>
          <w:p w14:paraId="68B00B57" w14:textId="77777777" w:rsidR="00F17E5D" w:rsidRPr="0019371D" w:rsidRDefault="00F17E5D" w:rsidP="002106D3">
            <w:pPr>
              <w:spacing w:line="360" w:lineRule="auto"/>
              <w:rPr>
                <w:rFonts w:ascii="Arial" w:hAnsi="Arial" w:cs="Arial"/>
              </w:rPr>
            </w:pPr>
            <w:r w:rsidRPr="0019371D">
              <w:rPr>
                <w:rFonts w:ascii="Arial" w:hAnsi="Arial" w:cs="Arial"/>
              </w:rPr>
              <w:t>Informal healthcare sector</w:t>
            </w:r>
          </w:p>
        </w:tc>
      </w:tr>
      <w:tr w:rsidR="00F17E5D" w:rsidRPr="0019371D" w14:paraId="5EC51B65" w14:textId="77777777" w:rsidTr="002106D3">
        <w:tc>
          <w:tcPr>
            <w:cnfStyle w:val="001000000000" w:firstRow="0" w:lastRow="0" w:firstColumn="1" w:lastColumn="0" w:oddVBand="0" w:evenVBand="0" w:oddHBand="0" w:evenHBand="0" w:firstRowFirstColumn="0" w:firstRowLastColumn="0" w:lastRowFirstColumn="0" w:lastRowLastColumn="0"/>
            <w:tcW w:w="0" w:type="auto"/>
            <w:vMerge w:val="restart"/>
          </w:tcPr>
          <w:p w14:paraId="2D0D2461" w14:textId="77777777" w:rsidR="00F17E5D" w:rsidRPr="0019371D" w:rsidRDefault="00F17E5D" w:rsidP="002106D3">
            <w:pPr>
              <w:spacing w:line="360" w:lineRule="auto"/>
              <w:rPr>
                <w:rFonts w:ascii="Arial" w:hAnsi="Arial" w:cs="Arial"/>
                <w:b w:val="0"/>
              </w:rPr>
            </w:pPr>
            <w:r w:rsidRPr="0019371D">
              <w:rPr>
                <w:rFonts w:ascii="Arial" w:hAnsi="Arial" w:cs="Arial"/>
                <w:b w:val="0"/>
              </w:rPr>
              <w:t>Health</w:t>
            </w:r>
          </w:p>
        </w:tc>
        <w:tc>
          <w:tcPr>
            <w:tcW w:w="0" w:type="auto"/>
          </w:tcPr>
          <w:p w14:paraId="6C39561B"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Patient-time costs</w:t>
            </w:r>
          </w:p>
        </w:tc>
        <w:tc>
          <w:tcPr>
            <w:tcW w:w="0" w:type="auto"/>
          </w:tcPr>
          <w:p w14:paraId="6EA944D7"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NA</w:t>
            </w:r>
          </w:p>
        </w:tc>
        <w:tc>
          <w:tcPr>
            <w:tcW w:w="0" w:type="auto"/>
          </w:tcPr>
          <w:p w14:paraId="6EC2CFD5"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No</w:t>
            </w:r>
          </w:p>
        </w:tc>
        <w:tc>
          <w:tcPr>
            <w:tcW w:w="0" w:type="auto"/>
          </w:tcPr>
          <w:p w14:paraId="42AC1597"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NA</w:t>
            </w:r>
          </w:p>
        </w:tc>
      </w:tr>
      <w:tr w:rsidR="00F17E5D" w:rsidRPr="0019371D" w14:paraId="62BA5C02"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AB8CDDA" w14:textId="77777777" w:rsidR="00F17E5D" w:rsidRPr="0019371D" w:rsidRDefault="00F17E5D" w:rsidP="002106D3">
            <w:pPr>
              <w:spacing w:line="360" w:lineRule="auto"/>
              <w:rPr>
                <w:rFonts w:ascii="Arial" w:hAnsi="Arial" w:cs="Arial"/>
                <w:b w:val="0"/>
              </w:rPr>
            </w:pPr>
          </w:p>
        </w:tc>
        <w:tc>
          <w:tcPr>
            <w:tcW w:w="0" w:type="auto"/>
          </w:tcPr>
          <w:p w14:paraId="2EBE0E12"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Unpaid caregiver-time costs</w:t>
            </w:r>
          </w:p>
        </w:tc>
        <w:tc>
          <w:tcPr>
            <w:tcW w:w="0" w:type="auto"/>
          </w:tcPr>
          <w:p w14:paraId="4C2E9544"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NA</w:t>
            </w:r>
          </w:p>
        </w:tc>
        <w:tc>
          <w:tcPr>
            <w:tcW w:w="0" w:type="auto"/>
          </w:tcPr>
          <w:p w14:paraId="32212B8B"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No</w:t>
            </w:r>
          </w:p>
        </w:tc>
        <w:tc>
          <w:tcPr>
            <w:tcW w:w="0" w:type="auto"/>
          </w:tcPr>
          <w:p w14:paraId="3D90452B"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NA</w:t>
            </w:r>
          </w:p>
        </w:tc>
      </w:tr>
      <w:tr w:rsidR="00F17E5D" w:rsidRPr="0019371D" w14:paraId="69F76ED7" w14:textId="77777777" w:rsidTr="002106D3">
        <w:tc>
          <w:tcPr>
            <w:cnfStyle w:val="001000000000" w:firstRow="0" w:lastRow="0" w:firstColumn="1" w:lastColumn="0" w:oddVBand="0" w:evenVBand="0" w:oddHBand="0" w:evenHBand="0" w:firstRowFirstColumn="0" w:firstRowLastColumn="0" w:lastRowFirstColumn="0" w:lastRowLastColumn="0"/>
            <w:tcW w:w="0" w:type="auto"/>
            <w:vMerge/>
          </w:tcPr>
          <w:p w14:paraId="2268AD51" w14:textId="77777777" w:rsidR="00F17E5D" w:rsidRPr="0019371D" w:rsidRDefault="00F17E5D" w:rsidP="002106D3">
            <w:pPr>
              <w:spacing w:line="360" w:lineRule="auto"/>
              <w:rPr>
                <w:rFonts w:ascii="Arial" w:hAnsi="Arial" w:cs="Arial"/>
                <w:b w:val="0"/>
              </w:rPr>
            </w:pPr>
          </w:p>
        </w:tc>
        <w:tc>
          <w:tcPr>
            <w:tcW w:w="0" w:type="auto"/>
          </w:tcPr>
          <w:p w14:paraId="24CDC82E"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Transportation costs</w:t>
            </w:r>
          </w:p>
        </w:tc>
        <w:tc>
          <w:tcPr>
            <w:tcW w:w="0" w:type="auto"/>
          </w:tcPr>
          <w:p w14:paraId="058558B1"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NA</w:t>
            </w:r>
          </w:p>
        </w:tc>
        <w:tc>
          <w:tcPr>
            <w:tcW w:w="0" w:type="auto"/>
          </w:tcPr>
          <w:p w14:paraId="67A838D1"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No</w:t>
            </w:r>
          </w:p>
        </w:tc>
        <w:tc>
          <w:tcPr>
            <w:tcW w:w="0" w:type="auto"/>
          </w:tcPr>
          <w:p w14:paraId="3B98A4CF"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NA</w:t>
            </w:r>
          </w:p>
        </w:tc>
      </w:tr>
      <w:tr w:rsidR="00F17E5D" w:rsidRPr="0019371D" w14:paraId="201B17DA"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Pr>
          <w:p w14:paraId="54641F8C" w14:textId="77777777" w:rsidR="00F17E5D" w:rsidRPr="0019371D" w:rsidRDefault="00F17E5D" w:rsidP="002106D3">
            <w:pPr>
              <w:spacing w:line="360" w:lineRule="auto"/>
              <w:rPr>
                <w:rFonts w:ascii="Arial" w:hAnsi="Arial" w:cs="Arial"/>
              </w:rPr>
            </w:pPr>
            <w:r w:rsidRPr="0019371D">
              <w:rPr>
                <w:rFonts w:ascii="Arial" w:hAnsi="Arial" w:cs="Arial"/>
              </w:rPr>
              <w:lastRenderedPageBreak/>
              <w:t>Non-health care sectors</w:t>
            </w:r>
          </w:p>
        </w:tc>
      </w:tr>
      <w:tr w:rsidR="00F17E5D" w:rsidRPr="0019371D" w14:paraId="3BE24909" w14:textId="77777777" w:rsidTr="002106D3">
        <w:tc>
          <w:tcPr>
            <w:cnfStyle w:val="001000000000" w:firstRow="0" w:lastRow="0" w:firstColumn="1" w:lastColumn="0" w:oddVBand="0" w:evenVBand="0" w:oddHBand="0" w:evenHBand="0" w:firstRowFirstColumn="0" w:firstRowLastColumn="0" w:lastRowFirstColumn="0" w:lastRowLastColumn="0"/>
            <w:tcW w:w="0" w:type="auto"/>
            <w:vMerge w:val="restart"/>
          </w:tcPr>
          <w:p w14:paraId="4A6EBF71" w14:textId="77777777" w:rsidR="00F17E5D" w:rsidRPr="0019371D" w:rsidRDefault="00F17E5D" w:rsidP="002106D3">
            <w:pPr>
              <w:spacing w:line="360" w:lineRule="auto"/>
              <w:rPr>
                <w:rFonts w:ascii="Arial" w:hAnsi="Arial" w:cs="Arial"/>
                <w:b w:val="0"/>
              </w:rPr>
            </w:pPr>
            <w:r w:rsidRPr="0019371D">
              <w:rPr>
                <w:rFonts w:ascii="Arial" w:hAnsi="Arial" w:cs="Arial"/>
                <w:b w:val="0"/>
              </w:rPr>
              <w:t>Productivity</w:t>
            </w:r>
          </w:p>
        </w:tc>
        <w:tc>
          <w:tcPr>
            <w:tcW w:w="0" w:type="auto"/>
          </w:tcPr>
          <w:p w14:paraId="15B32333"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Labor market earnings lost</w:t>
            </w:r>
          </w:p>
        </w:tc>
        <w:tc>
          <w:tcPr>
            <w:tcW w:w="0" w:type="auto"/>
          </w:tcPr>
          <w:p w14:paraId="145A2A81"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NA</w:t>
            </w:r>
          </w:p>
        </w:tc>
        <w:tc>
          <w:tcPr>
            <w:tcW w:w="0" w:type="auto"/>
          </w:tcPr>
          <w:p w14:paraId="621D5B92"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No</w:t>
            </w:r>
          </w:p>
        </w:tc>
        <w:tc>
          <w:tcPr>
            <w:tcW w:w="0" w:type="auto"/>
          </w:tcPr>
          <w:p w14:paraId="1B4EDF89"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NA</w:t>
            </w:r>
          </w:p>
        </w:tc>
      </w:tr>
      <w:tr w:rsidR="00F17E5D" w:rsidRPr="0019371D" w14:paraId="2131B2D8"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318B5EF" w14:textId="77777777" w:rsidR="00F17E5D" w:rsidRPr="0019371D" w:rsidRDefault="00F17E5D" w:rsidP="002106D3">
            <w:pPr>
              <w:spacing w:line="360" w:lineRule="auto"/>
              <w:rPr>
                <w:rFonts w:ascii="Arial" w:hAnsi="Arial" w:cs="Arial"/>
                <w:b w:val="0"/>
              </w:rPr>
            </w:pPr>
          </w:p>
        </w:tc>
        <w:tc>
          <w:tcPr>
            <w:tcW w:w="0" w:type="auto"/>
          </w:tcPr>
          <w:p w14:paraId="16087F99"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Cost of unpaid lost productivity due to illness</w:t>
            </w:r>
          </w:p>
        </w:tc>
        <w:tc>
          <w:tcPr>
            <w:tcW w:w="0" w:type="auto"/>
          </w:tcPr>
          <w:p w14:paraId="5F13C81A"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NA</w:t>
            </w:r>
          </w:p>
        </w:tc>
        <w:tc>
          <w:tcPr>
            <w:tcW w:w="0" w:type="auto"/>
          </w:tcPr>
          <w:p w14:paraId="14F07E24"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No</w:t>
            </w:r>
          </w:p>
        </w:tc>
        <w:tc>
          <w:tcPr>
            <w:tcW w:w="0" w:type="auto"/>
          </w:tcPr>
          <w:p w14:paraId="6923E5BF"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NA</w:t>
            </w:r>
          </w:p>
        </w:tc>
      </w:tr>
      <w:tr w:rsidR="00F17E5D" w:rsidRPr="0019371D" w14:paraId="367019AC" w14:textId="77777777" w:rsidTr="002106D3">
        <w:tc>
          <w:tcPr>
            <w:cnfStyle w:val="001000000000" w:firstRow="0" w:lastRow="0" w:firstColumn="1" w:lastColumn="0" w:oddVBand="0" w:evenVBand="0" w:oddHBand="0" w:evenHBand="0" w:firstRowFirstColumn="0" w:firstRowLastColumn="0" w:lastRowFirstColumn="0" w:lastRowLastColumn="0"/>
            <w:tcW w:w="0" w:type="auto"/>
            <w:vMerge/>
          </w:tcPr>
          <w:p w14:paraId="0AA6D5E0" w14:textId="77777777" w:rsidR="00F17E5D" w:rsidRPr="0019371D" w:rsidRDefault="00F17E5D" w:rsidP="002106D3">
            <w:pPr>
              <w:spacing w:line="360" w:lineRule="auto"/>
              <w:rPr>
                <w:rFonts w:ascii="Arial" w:hAnsi="Arial" w:cs="Arial"/>
                <w:b w:val="0"/>
              </w:rPr>
            </w:pPr>
          </w:p>
        </w:tc>
        <w:tc>
          <w:tcPr>
            <w:tcW w:w="0" w:type="auto"/>
          </w:tcPr>
          <w:p w14:paraId="3D6797D7"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Cost of uncompensated household production</w:t>
            </w:r>
          </w:p>
        </w:tc>
        <w:tc>
          <w:tcPr>
            <w:tcW w:w="0" w:type="auto"/>
          </w:tcPr>
          <w:p w14:paraId="4A38E60D"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NA</w:t>
            </w:r>
          </w:p>
        </w:tc>
        <w:tc>
          <w:tcPr>
            <w:tcW w:w="0" w:type="auto"/>
          </w:tcPr>
          <w:p w14:paraId="03DE5D7D"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No</w:t>
            </w:r>
          </w:p>
        </w:tc>
        <w:tc>
          <w:tcPr>
            <w:tcW w:w="0" w:type="auto"/>
          </w:tcPr>
          <w:p w14:paraId="04B532F2"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NA</w:t>
            </w:r>
          </w:p>
        </w:tc>
      </w:tr>
      <w:tr w:rsidR="00F17E5D" w:rsidRPr="0019371D" w14:paraId="1B823B1B"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95B853" w14:textId="77777777" w:rsidR="00F17E5D" w:rsidRPr="0019371D" w:rsidRDefault="00F17E5D" w:rsidP="002106D3">
            <w:pPr>
              <w:spacing w:line="360" w:lineRule="auto"/>
              <w:rPr>
                <w:rFonts w:ascii="Arial" w:hAnsi="Arial" w:cs="Arial"/>
                <w:b w:val="0"/>
              </w:rPr>
            </w:pPr>
            <w:r w:rsidRPr="0019371D">
              <w:rPr>
                <w:rFonts w:ascii="Arial" w:hAnsi="Arial" w:cs="Arial"/>
                <w:b w:val="0"/>
              </w:rPr>
              <w:t>Consumption</w:t>
            </w:r>
          </w:p>
        </w:tc>
        <w:tc>
          <w:tcPr>
            <w:tcW w:w="0" w:type="auto"/>
          </w:tcPr>
          <w:p w14:paraId="5BCCFDA6"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Future consumption unrelated to health</w:t>
            </w:r>
          </w:p>
        </w:tc>
        <w:tc>
          <w:tcPr>
            <w:tcW w:w="0" w:type="auto"/>
          </w:tcPr>
          <w:p w14:paraId="622BBDAB"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NA</w:t>
            </w:r>
          </w:p>
        </w:tc>
        <w:tc>
          <w:tcPr>
            <w:tcW w:w="0" w:type="auto"/>
          </w:tcPr>
          <w:p w14:paraId="43182655"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No</w:t>
            </w:r>
          </w:p>
        </w:tc>
        <w:tc>
          <w:tcPr>
            <w:tcW w:w="0" w:type="auto"/>
          </w:tcPr>
          <w:p w14:paraId="10836339"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NA</w:t>
            </w:r>
          </w:p>
        </w:tc>
      </w:tr>
      <w:tr w:rsidR="00F17E5D" w:rsidRPr="0019371D" w14:paraId="3792B60A" w14:textId="77777777" w:rsidTr="002106D3">
        <w:tc>
          <w:tcPr>
            <w:cnfStyle w:val="001000000000" w:firstRow="0" w:lastRow="0" w:firstColumn="1" w:lastColumn="0" w:oddVBand="0" w:evenVBand="0" w:oddHBand="0" w:evenHBand="0" w:firstRowFirstColumn="0" w:firstRowLastColumn="0" w:lastRowFirstColumn="0" w:lastRowLastColumn="0"/>
            <w:tcW w:w="0" w:type="auto"/>
          </w:tcPr>
          <w:p w14:paraId="6E223387" w14:textId="77777777" w:rsidR="00F17E5D" w:rsidRPr="0019371D" w:rsidRDefault="00F17E5D" w:rsidP="002106D3">
            <w:pPr>
              <w:spacing w:line="360" w:lineRule="auto"/>
              <w:rPr>
                <w:rFonts w:ascii="Arial" w:hAnsi="Arial" w:cs="Arial"/>
                <w:b w:val="0"/>
              </w:rPr>
            </w:pPr>
            <w:r w:rsidRPr="0019371D">
              <w:rPr>
                <w:rFonts w:ascii="Arial" w:hAnsi="Arial" w:cs="Arial"/>
                <w:b w:val="0"/>
              </w:rPr>
              <w:t>Social services</w:t>
            </w:r>
          </w:p>
        </w:tc>
        <w:tc>
          <w:tcPr>
            <w:tcW w:w="0" w:type="auto"/>
          </w:tcPr>
          <w:p w14:paraId="311FAF24"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Cost of social services as part of intervention</w:t>
            </w:r>
          </w:p>
        </w:tc>
        <w:tc>
          <w:tcPr>
            <w:tcW w:w="0" w:type="auto"/>
          </w:tcPr>
          <w:p w14:paraId="278EBD8A"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NA</w:t>
            </w:r>
          </w:p>
        </w:tc>
        <w:tc>
          <w:tcPr>
            <w:tcW w:w="0" w:type="auto"/>
          </w:tcPr>
          <w:p w14:paraId="2A0A1939"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Yes</w:t>
            </w:r>
          </w:p>
        </w:tc>
        <w:tc>
          <w:tcPr>
            <w:tcW w:w="0" w:type="auto"/>
          </w:tcPr>
          <w:p w14:paraId="60765B20"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World Food Program</w:t>
            </w:r>
          </w:p>
        </w:tc>
      </w:tr>
      <w:tr w:rsidR="00F17E5D" w:rsidRPr="0019371D" w14:paraId="7A4E1B1C"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25E6831" w14:textId="77777777" w:rsidR="00F17E5D" w:rsidRPr="0019371D" w:rsidRDefault="00F17E5D" w:rsidP="002106D3">
            <w:pPr>
              <w:spacing w:line="360" w:lineRule="auto"/>
              <w:rPr>
                <w:rFonts w:ascii="Arial" w:hAnsi="Arial" w:cs="Arial"/>
                <w:b w:val="0"/>
              </w:rPr>
            </w:pPr>
            <w:r w:rsidRPr="0019371D">
              <w:rPr>
                <w:rFonts w:ascii="Arial" w:hAnsi="Arial" w:cs="Arial"/>
                <w:b w:val="0"/>
              </w:rPr>
              <w:t>Legal or Criminal Justice</w:t>
            </w:r>
          </w:p>
        </w:tc>
        <w:tc>
          <w:tcPr>
            <w:tcW w:w="0" w:type="auto"/>
          </w:tcPr>
          <w:p w14:paraId="4ACFC903"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Number of crimes related to intervention</w:t>
            </w:r>
          </w:p>
        </w:tc>
        <w:tc>
          <w:tcPr>
            <w:tcW w:w="0" w:type="auto"/>
          </w:tcPr>
          <w:p w14:paraId="205F4E2F"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NA</w:t>
            </w:r>
          </w:p>
        </w:tc>
        <w:tc>
          <w:tcPr>
            <w:tcW w:w="0" w:type="auto"/>
          </w:tcPr>
          <w:p w14:paraId="03472F9A"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No</w:t>
            </w:r>
          </w:p>
        </w:tc>
        <w:tc>
          <w:tcPr>
            <w:tcW w:w="0" w:type="auto"/>
          </w:tcPr>
          <w:p w14:paraId="5CF9E835"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NA</w:t>
            </w:r>
          </w:p>
        </w:tc>
      </w:tr>
      <w:tr w:rsidR="00F17E5D" w:rsidRPr="0019371D" w14:paraId="5CBCF264" w14:textId="77777777" w:rsidTr="002106D3">
        <w:tc>
          <w:tcPr>
            <w:cnfStyle w:val="001000000000" w:firstRow="0" w:lastRow="0" w:firstColumn="1" w:lastColumn="0" w:oddVBand="0" w:evenVBand="0" w:oddHBand="0" w:evenHBand="0" w:firstRowFirstColumn="0" w:firstRowLastColumn="0" w:lastRowFirstColumn="0" w:lastRowLastColumn="0"/>
            <w:tcW w:w="0" w:type="auto"/>
            <w:vMerge/>
          </w:tcPr>
          <w:p w14:paraId="2172FA8F" w14:textId="77777777" w:rsidR="00F17E5D" w:rsidRPr="0019371D" w:rsidRDefault="00F17E5D" w:rsidP="002106D3">
            <w:pPr>
              <w:spacing w:line="360" w:lineRule="auto"/>
              <w:rPr>
                <w:rFonts w:ascii="Arial" w:hAnsi="Arial" w:cs="Arial"/>
                <w:b w:val="0"/>
              </w:rPr>
            </w:pPr>
          </w:p>
        </w:tc>
        <w:tc>
          <w:tcPr>
            <w:tcW w:w="0" w:type="auto"/>
          </w:tcPr>
          <w:p w14:paraId="5302FD51"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Cost of crimes related to intervention</w:t>
            </w:r>
          </w:p>
        </w:tc>
        <w:tc>
          <w:tcPr>
            <w:tcW w:w="0" w:type="auto"/>
          </w:tcPr>
          <w:p w14:paraId="34BCDD33"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NA</w:t>
            </w:r>
          </w:p>
        </w:tc>
        <w:tc>
          <w:tcPr>
            <w:tcW w:w="0" w:type="auto"/>
          </w:tcPr>
          <w:p w14:paraId="4C7EC006"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No</w:t>
            </w:r>
          </w:p>
        </w:tc>
        <w:tc>
          <w:tcPr>
            <w:tcW w:w="0" w:type="auto"/>
          </w:tcPr>
          <w:p w14:paraId="35997F7F"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NA</w:t>
            </w:r>
          </w:p>
        </w:tc>
      </w:tr>
      <w:tr w:rsidR="00F17E5D" w:rsidRPr="0019371D" w14:paraId="601E5E39"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ABDC90" w14:textId="77777777" w:rsidR="00F17E5D" w:rsidRPr="0019371D" w:rsidRDefault="00F17E5D" w:rsidP="002106D3">
            <w:pPr>
              <w:spacing w:line="360" w:lineRule="auto"/>
              <w:rPr>
                <w:rFonts w:ascii="Arial" w:hAnsi="Arial" w:cs="Arial"/>
                <w:b w:val="0"/>
              </w:rPr>
            </w:pPr>
            <w:r w:rsidRPr="0019371D">
              <w:rPr>
                <w:rFonts w:ascii="Arial" w:hAnsi="Arial" w:cs="Arial"/>
                <w:b w:val="0"/>
              </w:rPr>
              <w:t>Education</w:t>
            </w:r>
          </w:p>
        </w:tc>
        <w:tc>
          <w:tcPr>
            <w:tcW w:w="0" w:type="auto"/>
          </w:tcPr>
          <w:p w14:paraId="77397246"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Impact of intervention on educational achievement of population</w:t>
            </w:r>
          </w:p>
        </w:tc>
        <w:tc>
          <w:tcPr>
            <w:tcW w:w="0" w:type="auto"/>
          </w:tcPr>
          <w:p w14:paraId="71E1F232"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NA</w:t>
            </w:r>
          </w:p>
        </w:tc>
        <w:tc>
          <w:tcPr>
            <w:tcW w:w="0" w:type="auto"/>
          </w:tcPr>
          <w:p w14:paraId="0415514B"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No</w:t>
            </w:r>
          </w:p>
        </w:tc>
        <w:tc>
          <w:tcPr>
            <w:tcW w:w="0" w:type="auto"/>
          </w:tcPr>
          <w:p w14:paraId="40DC57BA"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NA</w:t>
            </w:r>
          </w:p>
        </w:tc>
      </w:tr>
      <w:tr w:rsidR="00F17E5D" w:rsidRPr="0019371D" w14:paraId="3589EABC" w14:textId="77777777" w:rsidTr="002106D3">
        <w:tc>
          <w:tcPr>
            <w:cnfStyle w:val="001000000000" w:firstRow="0" w:lastRow="0" w:firstColumn="1" w:lastColumn="0" w:oddVBand="0" w:evenVBand="0" w:oddHBand="0" w:evenHBand="0" w:firstRowFirstColumn="0" w:firstRowLastColumn="0" w:lastRowFirstColumn="0" w:lastRowLastColumn="0"/>
            <w:tcW w:w="0" w:type="auto"/>
          </w:tcPr>
          <w:p w14:paraId="0811A0E1" w14:textId="77777777" w:rsidR="00F17E5D" w:rsidRPr="0019371D" w:rsidRDefault="00F17E5D" w:rsidP="002106D3">
            <w:pPr>
              <w:spacing w:line="360" w:lineRule="auto"/>
              <w:rPr>
                <w:rFonts w:ascii="Arial" w:hAnsi="Arial" w:cs="Arial"/>
                <w:b w:val="0"/>
              </w:rPr>
            </w:pPr>
            <w:r w:rsidRPr="0019371D">
              <w:rPr>
                <w:rFonts w:ascii="Arial" w:hAnsi="Arial" w:cs="Arial"/>
                <w:b w:val="0"/>
              </w:rPr>
              <w:t>Housing</w:t>
            </w:r>
          </w:p>
        </w:tc>
        <w:tc>
          <w:tcPr>
            <w:tcW w:w="0" w:type="auto"/>
          </w:tcPr>
          <w:p w14:paraId="275587FE"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Cost of intervention on home improvements</w:t>
            </w:r>
          </w:p>
        </w:tc>
        <w:tc>
          <w:tcPr>
            <w:tcW w:w="0" w:type="auto"/>
          </w:tcPr>
          <w:p w14:paraId="174EF437"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NA</w:t>
            </w:r>
          </w:p>
        </w:tc>
        <w:tc>
          <w:tcPr>
            <w:tcW w:w="0" w:type="auto"/>
          </w:tcPr>
          <w:p w14:paraId="4AFBACC2" w14:textId="77777777" w:rsidR="00F17E5D" w:rsidRPr="0019371D" w:rsidRDefault="00F17E5D" w:rsidP="002106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No</w:t>
            </w:r>
          </w:p>
        </w:tc>
        <w:tc>
          <w:tcPr>
            <w:tcW w:w="0" w:type="auto"/>
          </w:tcPr>
          <w:p w14:paraId="341F72F5" w14:textId="77777777" w:rsidR="00F17E5D" w:rsidRPr="0019371D" w:rsidRDefault="00F17E5D" w:rsidP="002106D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9371D">
              <w:rPr>
                <w:rFonts w:ascii="Arial" w:hAnsi="Arial" w:cs="Arial"/>
              </w:rPr>
              <w:t>NA</w:t>
            </w:r>
          </w:p>
        </w:tc>
      </w:tr>
      <w:tr w:rsidR="00F17E5D" w:rsidRPr="0019371D" w14:paraId="042D1007" w14:textId="77777777" w:rsidTr="0021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FEFDF3" w14:textId="77777777" w:rsidR="00F17E5D" w:rsidRPr="0019371D" w:rsidRDefault="00F17E5D" w:rsidP="002106D3">
            <w:pPr>
              <w:spacing w:line="360" w:lineRule="auto"/>
              <w:rPr>
                <w:rFonts w:ascii="Arial" w:hAnsi="Arial" w:cs="Arial"/>
                <w:b w:val="0"/>
              </w:rPr>
            </w:pPr>
            <w:r w:rsidRPr="0019371D">
              <w:rPr>
                <w:rFonts w:ascii="Arial" w:hAnsi="Arial" w:cs="Arial"/>
                <w:b w:val="0"/>
              </w:rPr>
              <w:t>Environment</w:t>
            </w:r>
          </w:p>
        </w:tc>
        <w:tc>
          <w:tcPr>
            <w:tcW w:w="0" w:type="auto"/>
          </w:tcPr>
          <w:p w14:paraId="7F6109F9"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Production of toxic waste pollution by intervention</w:t>
            </w:r>
          </w:p>
        </w:tc>
        <w:tc>
          <w:tcPr>
            <w:tcW w:w="0" w:type="auto"/>
          </w:tcPr>
          <w:p w14:paraId="48C88639"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NA</w:t>
            </w:r>
          </w:p>
        </w:tc>
        <w:tc>
          <w:tcPr>
            <w:tcW w:w="0" w:type="auto"/>
          </w:tcPr>
          <w:p w14:paraId="4FD220C8" w14:textId="77777777" w:rsidR="00F17E5D" w:rsidRPr="0019371D" w:rsidRDefault="00F17E5D" w:rsidP="002106D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No</w:t>
            </w:r>
          </w:p>
        </w:tc>
        <w:tc>
          <w:tcPr>
            <w:tcW w:w="0" w:type="auto"/>
          </w:tcPr>
          <w:p w14:paraId="4B407DF5" w14:textId="77777777" w:rsidR="00F17E5D" w:rsidRPr="0019371D" w:rsidRDefault="00F17E5D" w:rsidP="002106D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9371D">
              <w:rPr>
                <w:rFonts w:ascii="Arial" w:hAnsi="Arial" w:cs="Arial"/>
              </w:rPr>
              <w:t>NA</w:t>
            </w:r>
          </w:p>
        </w:tc>
      </w:tr>
    </w:tbl>
    <w:p w14:paraId="4FCC7EDC" w14:textId="77777777" w:rsidR="00F17E5D" w:rsidRPr="00F17E5D" w:rsidRDefault="00F17E5D" w:rsidP="00F17E5D">
      <w:pPr>
        <w:spacing w:line="360" w:lineRule="auto"/>
        <w:rPr>
          <w:rFonts w:ascii="Times" w:hAnsi="Times"/>
        </w:rPr>
      </w:pPr>
    </w:p>
    <w:p w14:paraId="7D962CC9" w14:textId="0541275D" w:rsidR="00F17E5D" w:rsidRPr="00F17E5D" w:rsidRDefault="00F17E5D" w:rsidP="00F17E5D">
      <w:pPr>
        <w:widowControl w:val="0"/>
        <w:autoSpaceDE w:val="0"/>
        <w:autoSpaceDN w:val="0"/>
        <w:adjustRightInd w:val="0"/>
        <w:ind w:left="640" w:hanging="640"/>
        <w:rPr>
          <w:rFonts w:ascii="Times" w:hAnsi="Times"/>
          <w:noProof/>
        </w:rPr>
      </w:pPr>
      <w:r w:rsidRPr="00F17E5D">
        <w:rPr>
          <w:rFonts w:ascii="Times" w:hAnsi="Times"/>
        </w:rPr>
        <w:fldChar w:fldCharType="begin" w:fldLock="1"/>
      </w:r>
      <w:r w:rsidRPr="00F17E5D">
        <w:rPr>
          <w:rFonts w:ascii="Times" w:hAnsi="Times"/>
        </w:rPr>
        <w:instrText xml:space="preserve">ADDIN Mendeley Bibliography CSL_BIBLIOGRAPHY </w:instrText>
      </w:r>
      <w:r w:rsidRPr="00F17E5D">
        <w:rPr>
          <w:rFonts w:ascii="Times" w:hAnsi="Times"/>
        </w:rPr>
        <w:fldChar w:fldCharType="separate"/>
      </w:r>
      <w:r w:rsidRPr="00F17E5D">
        <w:rPr>
          <w:rFonts w:ascii="Times" w:hAnsi="Times"/>
          <w:noProof/>
        </w:rPr>
        <w:t xml:space="preserve">1. </w:t>
      </w:r>
      <w:r w:rsidRPr="00F17E5D">
        <w:rPr>
          <w:rFonts w:ascii="Times" w:hAnsi="Times"/>
          <w:noProof/>
        </w:rPr>
        <w:tab/>
        <w:t>Sanders GD, Neumann PJ, Basu A, Brock DW, Feeny D, Krahn M, et al. Recommendations for Conduct, Methodological Practices, and Reporting of Cost-effectiveness Analyses: Second Panel on Cost-Effectiveness in Health and Medicine. JAMA [Internet]. 2016;316(10):1093–103. Available from: http://www.ncbi.nlm.nih.gov/pubmed/27623463</w:t>
      </w:r>
    </w:p>
    <w:p w14:paraId="732B9F1A" w14:textId="5BF1FB77" w:rsidR="00330917" w:rsidRDefault="00F17E5D" w:rsidP="00F17E5D">
      <w:r w:rsidRPr="00F17E5D">
        <w:rPr>
          <w:rFonts w:ascii="Times" w:hAnsi="Times"/>
        </w:rPr>
        <w:fldChar w:fldCharType="end"/>
      </w:r>
    </w:p>
    <w:sectPr w:rsidR="00330917" w:rsidSect="00D91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5D"/>
    <w:rsid w:val="00330917"/>
    <w:rsid w:val="004B17E5"/>
    <w:rsid w:val="00AA1915"/>
    <w:rsid w:val="00D9179D"/>
    <w:rsid w:val="00F1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820E"/>
  <w15:chartTrackingRefBased/>
  <w15:docId w15:val="{2F123F61-58E6-6F40-A211-C66A7E7D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7E5D"/>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F17E5D"/>
    <w:rPr>
      <w:rFonts w:ascii="Cambria" w:eastAsia="MS Mincho" w:hAnsi="Cambria"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8F9F0-5281-5144-B428-9CC1D8C8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Basu</dc:creator>
  <cp:keywords/>
  <dc:description/>
  <cp:lastModifiedBy>Sanjay Basu</cp:lastModifiedBy>
  <cp:revision>1</cp:revision>
  <dcterms:created xsi:type="dcterms:W3CDTF">2018-09-19T17:55:00Z</dcterms:created>
  <dcterms:modified xsi:type="dcterms:W3CDTF">2018-09-19T17:55:00Z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http://www.zotero.org/styles/jama</vt:lpwstr>
  </property>
  <property fmtid="{D5CDD505-2E9C-101B-9397-08002B2CF9AE}" pid="3" name="Mendeley Recent Style Name 0_1">
    <vt:lpwstr>JAMA (The Journal of the American Medical Association)</vt:lpwstr>
  </property>
  <property fmtid="{D5CDD505-2E9C-101B-9397-08002B2CF9AE}" pid="4" name="Mendeley Recent Style Id 1_1">
    <vt:lpwstr>http://www.zotero.org/styles/medical-care</vt:lpwstr>
  </property>
  <property fmtid="{D5CDD505-2E9C-101B-9397-08002B2CF9AE}" pid="5" name="Mendeley Recent Style Name 1_1">
    <vt:lpwstr>Medical Care</vt:lpwstr>
  </property>
  <property fmtid="{D5CDD505-2E9C-101B-9397-08002B2CF9AE}" pid="6" name="Mendeley Recent Style Id 2_1">
    <vt:lpwstr>http://www.zotero.org/styles/national-library-of-medicine</vt:lpwstr>
  </property>
  <property fmtid="{D5CDD505-2E9C-101B-9397-08002B2CF9AE}" pid="7" name="Mendeley Recent Style Name 2_1">
    <vt:lpwstr>National Library of Medicine</vt:lpwstr>
  </property>
  <property fmtid="{D5CDD505-2E9C-101B-9397-08002B2CF9AE}" pid="8" name="Mendeley Recent Style Id 3_1">
    <vt:lpwstr>http://www.zotero.org/styles/nature</vt:lpwstr>
  </property>
  <property fmtid="{D5CDD505-2E9C-101B-9397-08002B2CF9AE}" pid="9" name="Mendeley Recent Style Name 3_1">
    <vt:lpwstr>Nature</vt:lpwstr>
  </property>
  <property fmtid="{D5CDD505-2E9C-101B-9397-08002B2CF9AE}" pid="10" name="Mendeley Recent Style Id 4_1">
    <vt:lpwstr>http://www.zotero.org/styles/plos-medicine</vt:lpwstr>
  </property>
  <property fmtid="{D5CDD505-2E9C-101B-9397-08002B2CF9AE}" pid="11" name="Mendeley Recent Style Name 4_1">
    <vt:lpwstr>PLOS Medicine</vt:lpwstr>
  </property>
  <property fmtid="{D5CDD505-2E9C-101B-9397-08002B2CF9AE}" pid="12" name="Mendeley Recent Style Id 5_1">
    <vt:lpwstr>http://www.zotero.org/styles/the-lancet</vt:lpwstr>
  </property>
  <property fmtid="{D5CDD505-2E9C-101B-9397-08002B2CF9AE}" pid="13" name="Mendeley Recent Style Name 5_1">
    <vt:lpwstr>The Lancet</vt:lpwstr>
  </property>
  <property fmtid="{D5CDD505-2E9C-101B-9397-08002B2CF9AE}" pid="14" name="Mendeley Recent Style Id 6_1">
    <vt:lpwstr>http://www.zotero.org/styles/the-new-england-journal-of-medicine</vt:lpwstr>
  </property>
  <property fmtid="{D5CDD505-2E9C-101B-9397-08002B2CF9AE}" pid="15" name="Mendeley Recent Style Name 6_1">
    <vt:lpwstr>The New England Journal of Medicine</vt:lpwstr>
  </property>
  <property fmtid="{D5CDD505-2E9C-101B-9397-08002B2CF9AE}" pid="16" name="Mendeley Recent Style Id 7_1">
    <vt:lpwstr>http://www.zotero.org/styles/value-in-health</vt:lpwstr>
  </property>
  <property fmtid="{D5CDD505-2E9C-101B-9397-08002B2CF9AE}" pid="17" name="Mendeley Recent Style Name 7_1">
    <vt:lpwstr>Value in Health</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af423186-32b3-3c1b-b685-8e7c871d052d</vt:lpwstr>
  </property>
  <property fmtid="{D5CDD505-2E9C-101B-9397-08002B2CF9AE}" pid="24" name="Mendeley Citation Style_1">
    <vt:lpwstr>http://www.zotero.org/styles/medical-care</vt:lpwstr>
  </property>
</Properties>
</file>