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DEF" w:rsidRPr="00B33378" w:rsidRDefault="00810DEF" w:rsidP="00810DEF">
      <w:pPr>
        <w:pStyle w:val="Heading1"/>
        <w:spacing w:before="0" w:after="120"/>
        <w:rPr>
          <w:rFonts w:ascii="Times New Roman" w:hAnsi="Times New Roman" w:cs="Times New Roman"/>
          <w:b/>
          <w:color w:val="000000" w:themeColor="text1"/>
          <w:sz w:val="22"/>
          <w:szCs w:val="22"/>
        </w:rPr>
      </w:pPr>
      <w:bookmarkStart w:id="0" w:name="_Toc518680943"/>
      <w:r w:rsidRPr="00B33378">
        <w:rPr>
          <w:rFonts w:ascii="Times New Roman" w:hAnsi="Times New Roman" w:cs="Times New Roman"/>
          <w:b/>
          <w:color w:val="000000" w:themeColor="text1"/>
          <w:sz w:val="22"/>
          <w:szCs w:val="22"/>
        </w:rPr>
        <w:t xml:space="preserve">S5 Table.  </w:t>
      </w:r>
      <w:r w:rsidRPr="00B33378">
        <w:rPr>
          <w:rFonts w:ascii="Times New Roman" w:hAnsi="Times New Roman" w:cs="Times New Roman"/>
          <w:color w:val="000000" w:themeColor="text1"/>
          <w:sz w:val="22"/>
          <w:szCs w:val="22"/>
        </w:rPr>
        <w:t>Estimated Intervention Costs to Implement Financial Incentives and Disincentives Policies through Supplemental Nutrition Assistance Program (SNAP</w:t>
      </w:r>
      <w:proofErr w:type="gramStart"/>
      <w:r w:rsidRPr="00B33378">
        <w:rPr>
          <w:rFonts w:ascii="Times New Roman" w:hAnsi="Times New Roman" w:cs="Times New Roman"/>
          <w:color w:val="000000" w:themeColor="text1"/>
          <w:sz w:val="22"/>
          <w:szCs w:val="22"/>
        </w:rPr>
        <w:t>).</w:t>
      </w:r>
      <w:r w:rsidRPr="00B33378">
        <w:rPr>
          <w:rFonts w:ascii="Times New Roman" w:hAnsi="Times New Roman" w:cs="Times New Roman"/>
          <w:color w:val="000000" w:themeColor="text1"/>
          <w:sz w:val="22"/>
          <w:szCs w:val="22"/>
          <w:vertAlign w:val="superscript"/>
        </w:rPr>
        <w:t>a</w:t>
      </w:r>
      <w:bookmarkEnd w:id="0"/>
      <w:proofErr w:type="gramEnd"/>
    </w:p>
    <w:tbl>
      <w:tblPr>
        <w:tblStyle w:val="TableGrid"/>
        <w:tblW w:w="10008" w:type="dxa"/>
        <w:tblLook w:val="04A0" w:firstRow="1" w:lastRow="0" w:firstColumn="1" w:lastColumn="0" w:noHBand="0" w:noVBand="1"/>
      </w:tblPr>
      <w:tblGrid>
        <w:gridCol w:w="3528"/>
        <w:gridCol w:w="1890"/>
        <w:gridCol w:w="1764"/>
        <w:gridCol w:w="2826"/>
      </w:tblGrid>
      <w:tr w:rsidR="00810DEF" w:rsidRPr="00B33378" w:rsidTr="00772338">
        <w:trPr>
          <w:trHeight w:val="618"/>
        </w:trPr>
        <w:tc>
          <w:tcPr>
            <w:tcW w:w="3528" w:type="dxa"/>
            <w:tcBorders>
              <w:top w:val="single" w:sz="12" w:space="0" w:color="auto"/>
              <w:left w:val="nil"/>
              <w:bottom w:val="single" w:sz="4" w:space="0" w:color="auto"/>
              <w:right w:val="nil"/>
            </w:tcBorders>
          </w:tcPr>
          <w:p w:rsidR="00810DEF" w:rsidRPr="00B33378" w:rsidRDefault="00810DEF" w:rsidP="00772338">
            <w:pPr>
              <w:spacing w:before="60" w:after="60"/>
              <w:rPr>
                <w:rFonts w:ascii="Times New Roman" w:hAnsi="Times New Roman" w:cs="Times New Roman"/>
                <w:b/>
                <w:sz w:val="22"/>
                <w:szCs w:val="22"/>
              </w:rPr>
            </w:pPr>
            <w:r w:rsidRPr="00B33378">
              <w:rPr>
                <w:rFonts w:ascii="Times New Roman" w:hAnsi="Times New Roman" w:cs="Times New Roman"/>
                <w:b/>
                <w:sz w:val="22"/>
                <w:szCs w:val="22"/>
              </w:rPr>
              <w:t xml:space="preserve">Cost category </w:t>
            </w:r>
          </w:p>
        </w:tc>
        <w:tc>
          <w:tcPr>
            <w:tcW w:w="3654" w:type="dxa"/>
            <w:gridSpan w:val="2"/>
            <w:tcBorders>
              <w:top w:val="single" w:sz="12" w:space="0" w:color="auto"/>
              <w:left w:val="nil"/>
              <w:bottom w:val="single" w:sz="4" w:space="0" w:color="auto"/>
              <w:right w:val="nil"/>
            </w:tcBorders>
          </w:tcPr>
          <w:p w:rsidR="00810DEF" w:rsidRPr="00B33378" w:rsidRDefault="00810DEF" w:rsidP="00772338">
            <w:pPr>
              <w:spacing w:before="60" w:after="60"/>
              <w:jc w:val="center"/>
              <w:rPr>
                <w:rFonts w:ascii="Times New Roman" w:hAnsi="Times New Roman" w:cs="Times New Roman"/>
                <w:b/>
                <w:sz w:val="22"/>
                <w:szCs w:val="22"/>
              </w:rPr>
            </w:pPr>
            <w:r w:rsidRPr="00B33378">
              <w:rPr>
                <w:rFonts w:ascii="Times New Roman" w:hAnsi="Times New Roman" w:cs="Times New Roman"/>
                <w:b/>
                <w:sz w:val="22"/>
                <w:szCs w:val="22"/>
              </w:rPr>
              <w:t>Cost</w:t>
            </w:r>
          </w:p>
        </w:tc>
        <w:tc>
          <w:tcPr>
            <w:tcW w:w="2826" w:type="dxa"/>
            <w:tcBorders>
              <w:top w:val="single" w:sz="12" w:space="0" w:color="auto"/>
              <w:left w:val="nil"/>
              <w:bottom w:val="single" w:sz="4" w:space="0" w:color="auto"/>
              <w:right w:val="nil"/>
            </w:tcBorders>
          </w:tcPr>
          <w:p w:rsidR="00810DEF" w:rsidRPr="00B33378" w:rsidRDefault="00810DEF" w:rsidP="00772338">
            <w:pPr>
              <w:spacing w:before="60" w:after="60"/>
              <w:rPr>
                <w:rFonts w:ascii="Times New Roman" w:hAnsi="Times New Roman" w:cs="Times New Roman"/>
                <w:b/>
                <w:sz w:val="22"/>
                <w:szCs w:val="22"/>
              </w:rPr>
            </w:pPr>
            <w:r w:rsidRPr="00B33378">
              <w:rPr>
                <w:rFonts w:ascii="Times New Roman" w:hAnsi="Times New Roman" w:cs="Times New Roman"/>
                <w:b/>
                <w:sz w:val="22"/>
                <w:szCs w:val="22"/>
              </w:rPr>
              <w:t>Source</w:t>
            </w:r>
          </w:p>
        </w:tc>
      </w:tr>
      <w:tr w:rsidR="00810DEF" w:rsidRPr="00B33378" w:rsidTr="00772338">
        <w:tc>
          <w:tcPr>
            <w:tcW w:w="3528" w:type="dxa"/>
            <w:tcBorders>
              <w:top w:val="single" w:sz="4" w:space="0" w:color="auto"/>
              <w:left w:val="nil"/>
              <w:bottom w:val="nil"/>
              <w:right w:val="nil"/>
            </w:tcBorders>
          </w:tcPr>
          <w:p w:rsidR="00810DEF" w:rsidRPr="00B33378" w:rsidRDefault="00810DEF" w:rsidP="00772338">
            <w:pPr>
              <w:spacing w:before="60" w:after="60"/>
              <w:rPr>
                <w:rFonts w:ascii="Times New Roman" w:hAnsi="Times New Roman" w:cs="Times New Roman"/>
                <w:b/>
                <w:sz w:val="22"/>
                <w:szCs w:val="22"/>
              </w:rPr>
            </w:pPr>
            <w:r w:rsidRPr="00B33378">
              <w:rPr>
                <w:rFonts w:ascii="Times New Roman" w:hAnsi="Times New Roman" w:cs="Times New Roman"/>
                <w:b/>
                <w:sz w:val="22"/>
                <w:szCs w:val="22"/>
              </w:rPr>
              <w:t>Administrative costs</w:t>
            </w:r>
            <w:r w:rsidRPr="00B33378">
              <w:rPr>
                <w:rFonts w:ascii="Times New Roman" w:hAnsi="Times New Roman" w:cs="Times New Roman"/>
                <w:sz w:val="22"/>
                <w:szCs w:val="22"/>
                <w:vertAlign w:val="superscript"/>
              </w:rPr>
              <w:t xml:space="preserve"> b</w:t>
            </w:r>
          </w:p>
        </w:tc>
        <w:tc>
          <w:tcPr>
            <w:tcW w:w="1890" w:type="dxa"/>
            <w:tcBorders>
              <w:top w:val="single" w:sz="4" w:space="0" w:color="auto"/>
              <w:left w:val="nil"/>
              <w:bottom w:val="nil"/>
              <w:right w:val="nil"/>
            </w:tcBorders>
          </w:tcPr>
          <w:p w:rsidR="00810DEF" w:rsidRPr="00B33378" w:rsidRDefault="00810DEF" w:rsidP="00772338">
            <w:pPr>
              <w:spacing w:before="60" w:after="60"/>
              <w:jc w:val="center"/>
              <w:rPr>
                <w:rFonts w:ascii="Times New Roman" w:hAnsi="Times New Roman" w:cs="Times New Roman"/>
                <w:sz w:val="22"/>
                <w:szCs w:val="22"/>
              </w:rPr>
            </w:pPr>
            <w:r w:rsidRPr="00B33378">
              <w:rPr>
                <w:rFonts w:ascii="Times New Roman" w:hAnsi="Times New Roman" w:cs="Times New Roman"/>
                <w:sz w:val="22"/>
                <w:szCs w:val="22"/>
              </w:rPr>
              <w:t>Year 1</w:t>
            </w:r>
          </w:p>
        </w:tc>
        <w:tc>
          <w:tcPr>
            <w:tcW w:w="1764" w:type="dxa"/>
            <w:tcBorders>
              <w:top w:val="single" w:sz="4" w:space="0" w:color="auto"/>
              <w:left w:val="nil"/>
              <w:bottom w:val="nil"/>
              <w:right w:val="nil"/>
            </w:tcBorders>
          </w:tcPr>
          <w:p w:rsidR="00810DEF" w:rsidRPr="00B33378" w:rsidRDefault="00810DEF" w:rsidP="00772338">
            <w:pPr>
              <w:spacing w:before="60" w:after="60"/>
              <w:jc w:val="center"/>
              <w:rPr>
                <w:rFonts w:ascii="Times New Roman" w:hAnsi="Times New Roman" w:cs="Times New Roman"/>
                <w:sz w:val="22"/>
                <w:szCs w:val="22"/>
              </w:rPr>
            </w:pPr>
            <w:r w:rsidRPr="00B33378">
              <w:rPr>
                <w:rFonts w:ascii="Times New Roman" w:hAnsi="Times New Roman" w:cs="Times New Roman"/>
                <w:sz w:val="22"/>
                <w:szCs w:val="22"/>
              </w:rPr>
              <w:t>Years 2+</w:t>
            </w:r>
          </w:p>
        </w:tc>
        <w:tc>
          <w:tcPr>
            <w:tcW w:w="2826" w:type="dxa"/>
            <w:tcBorders>
              <w:top w:val="single" w:sz="4" w:space="0" w:color="auto"/>
              <w:left w:val="nil"/>
              <w:bottom w:val="nil"/>
              <w:right w:val="nil"/>
            </w:tcBorders>
          </w:tcPr>
          <w:p w:rsidR="00810DEF" w:rsidRPr="00B33378" w:rsidRDefault="00810DEF" w:rsidP="00772338">
            <w:pPr>
              <w:spacing w:before="60" w:after="60"/>
              <w:rPr>
                <w:rFonts w:ascii="Times New Roman" w:hAnsi="Times New Roman" w:cs="Times New Roman"/>
                <w:sz w:val="22"/>
                <w:szCs w:val="22"/>
              </w:rPr>
            </w:pPr>
          </w:p>
        </w:tc>
      </w:tr>
      <w:tr w:rsidR="00810DEF" w:rsidRPr="00B33378" w:rsidTr="00772338">
        <w:tc>
          <w:tcPr>
            <w:tcW w:w="3528" w:type="dxa"/>
            <w:tcBorders>
              <w:top w:val="nil"/>
              <w:left w:val="nil"/>
              <w:bottom w:val="nil"/>
              <w:right w:val="nil"/>
            </w:tcBorders>
          </w:tcPr>
          <w:p w:rsidR="00810DEF" w:rsidRPr="00B33378" w:rsidRDefault="00810DEF" w:rsidP="00772338">
            <w:pPr>
              <w:spacing w:before="60" w:after="60"/>
              <w:ind w:left="180"/>
              <w:rPr>
                <w:rFonts w:ascii="Times New Roman" w:hAnsi="Times New Roman" w:cs="Times New Roman"/>
                <w:sz w:val="22"/>
                <w:szCs w:val="22"/>
              </w:rPr>
            </w:pPr>
            <w:r w:rsidRPr="00B33378">
              <w:rPr>
                <w:rFonts w:ascii="Times New Roman" w:hAnsi="Times New Roman" w:cs="Times New Roman"/>
                <w:sz w:val="22"/>
                <w:szCs w:val="22"/>
              </w:rPr>
              <w:t xml:space="preserve">Initial program implementation and participant education </w:t>
            </w:r>
          </w:p>
        </w:tc>
        <w:tc>
          <w:tcPr>
            <w:tcW w:w="1890" w:type="dxa"/>
            <w:tcBorders>
              <w:top w:val="nil"/>
              <w:left w:val="nil"/>
              <w:bottom w:val="nil"/>
              <w:right w:val="nil"/>
            </w:tcBorders>
          </w:tcPr>
          <w:p w:rsidR="00810DEF" w:rsidRPr="00B33378" w:rsidRDefault="00810DEF" w:rsidP="00772338">
            <w:pPr>
              <w:spacing w:before="60" w:after="60"/>
              <w:jc w:val="center"/>
              <w:rPr>
                <w:rFonts w:ascii="Times New Roman" w:hAnsi="Times New Roman" w:cs="Times New Roman"/>
                <w:sz w:val="22"/>
                <w:szCs w:val="22"/>
              </w:rPr>
            </w:pPr>
            <w:r w:rsidRPr="00B33378">
              <w:rPr>
                <w:rFonts w:ascii="Times New Roman" w:eastAsia="Times New Roman" w:hAnsi="Times New Roman" w:cs="Times New Roman"/>
                <w:color w:val="000000"/>
                <w:sz w:val="22"/>
                <w:szCs w:val="22"/>
              </w:rPr>
              <w:t>$30,521,533</w:t>
            </w:r>
          </w:p>
        </w:tc>
        <w:tc>
          <w:tcPr>
            <w:tcW w:w="1764" w:type="dxa"/>
            <w:tcBorders>
              <w:top w:val="nil"/>
              <w:left w:val="nil"/>
              <w:bottom w:val="nil"/>
              <w:right w:val="nil"/>
            </w:tcBorders>
          </w:tcPr>
          <w:p w:rsidR="00810DEF" w:rsidRPr="00B33378" w:rsidRDefault="00810DEF" w:rsidP="00772338">
            <w:pPr>
              <w:spacing w:before="60" w:after="60"/>
              <w:jc w:val="center"/>
              <w:rPr>
                <w:rFonts w:ascii="Times New Roman" w:hAnsi="Times New Roman" w:cs="Times New Roman"/>
                <w:sz w:val="22"/>
                <w:szCs w:val="22"/>
              </w:rPr>
            </w:pPr>
            <w:r w:rsidRPr="00B33378">
              <w:rPr>
                <w:rFonts w:ascii="Times New Roman" w:hAnsi="Times New Roman" w:cs="Times New Roman"/>
                <w:sz w:val="22"/>
                <w:szCs w:val="22"/>
              </w:rPr>
              <w:t>n/a</w:t>
            </w:r>
          </w:p>
        </w:tc>
        <w:tc>
          <w:tcPr>
            <w:tcW w:w="2826" w:type="dxa"/>
            <w:tcBorders>
              <w:top w:val="nil"/>
              <w:left w:val="nil"/>
              <w:bottom w:val="nil"/>
              <w:right w:val="nil"/>
            </w:tcBorders>
          </w:tcPr>
          <w:p w:rsidR="00810DEF" w:rsidRPr="00B33378" w:rsidRDefault="00810DEF" w:rsidP="00772338">
            <w:pPr>
              <w:spacing w:before="60" w:after="60"/>
              <w:rPr>
                <w:rFonts w:ascii="Times New Roman" w:hAnsi="Times New Roman" w:cs="Times New Roman"/>
                <w:sz w:val="22"/>
                <w:szCs w:val="22"/>
              </w:rPr>
            </w:pPr>
            <w:r w:rsidRPr="00B33378">
              <w:rPr>
                <w:rFonts w:ascii="Times New Roman" w:eastAsia="Times New Roman" w:hAnsi="Times New Roman" w:cs="Times New Roman"/>
                <w:color w:val="222222"/>
                <w:sz w:val="22"/>
                <w:szCs w:val="22"/>
                <w:shd w:val="clear" w:color="auto" w:fill="FFFFFF"/>
              </w:rPr>
              <w:t xml:space="preserve">Healthy Incentives Pilot (HIP) Final Report </w:t>
            </w:r>
            <w:r w:rsidRPr="00B33378">
              <w:rPr>
                <w:rFonts w:ascii="Times New Roman" w:eastAsia="Times New Roman" w:hAnsi="Times New Roman" w:cs="Times New Roman"/>
                <w:color w:val="222222"/>
                <w:sz w:val="22"/>
                <w:szCs w:val="22"/>
                <w:shd w:val="clear" w:color="auto" w:fill="FFFFFF"/>
              </w:rPr>
              <w:fldChar w:fldCharType="begin"/>
            </w:r>
            <w:r w:rsidRPr="00B33378">
              <w:rPr>
                <w:rFonts w:ascii="Times New Roman" w:eastAsia="Times New Roman" w:hAnsi="Times New Roman" w:cs="Times New Roman"/>
                <w:color w:val="222222"/>
                <w:sz w:val="22"/>
                <w:szCs w:val="22"/>
                <w:shd w:val="clear" w:color="auto" w:fill="FFFFFF"/>
              </w:rPr>
              <w:instrText xml:space="preserve"> ADDIN EN.CITE &lt;EndNote&gt;&lt;Cite&gt;&lt;Author&gt;Bartlett&lt;/Author&gt;&lt;Year&gt;2014&lt;/Year&gt;&lt;RecNum&gt;3832&lt;/RecNum&gt;&lt;DisplayText&gt;[25]&lt;/DisplayText&gt;&lt;record&gt;&lt;rec-number&gt;3832&lt;/rec-number&gt;&lt;foreign-keys&gt;&lt;key app="EN" db-id="xt2fa5pf1vvptiexpvnxtwzjsa5fest5z5vx"&gt;3832&lt;/key&gt;&lt;/foreign-keys&gt;&lt;ref-type name="Web Page"&gt;12&lt;/ref-type&gt;&lt;contributors&gt;&lt;authors&gt;&lt;author&gt;Bartlett, S.&lt;/author&gt;&lt;author&gt;Klerman, J.&lt;/author&gt;&lt;author&gt;Olsho, L.&lt;/author&gt;&lt;author&gt;Logan, C.&lt;/author&gt;&lt;author&gt;Blocklin, M.&lt;/author&gt;&lt;author&gt;Beauregard, M.&lt;/author&gt;&lt;author&gt;Enver, A.&lt;/author&gt;&lt;author&gt;Wilde, P.&lt;/author&gt;&lt;author&gt;Owens, C.&lt;/author&gt;&lt;/authors&gt;&lt;/contributors&gt;&lt;titles&gt;&lt;title&gt;Evaluation of the Healthy Incentives Pilot (HIP): Final Report&lt;/title&gt;&lt;/titles&gt;&lt;volume&gt;2015&lt;/volume&gt;&lt;number&gt;September 30&lt;/number&gt;&lt;dates&gt;&lt;year&gt;2014&lt;/year&gt;&lt;/dates&gt;&lt;pub-location&gt;Alexandria, VA&lt;/pub-location&gt;&lt;publisher&gt;USDA Food and Nutrition Service&lt;/publisher&gt;&lt;urls&gt;&lt;related-urls&gt;&lt;url&gt;http://www.fns.usda.gov/sites/default/files/HIP-Final.pdf&lt;/url&gt;&lt;/related-urls&gt;&lt;/urls&gt;&lt;/record&gt;&lt;/Cite&gt;&lt;/EndNote&gt;</w:instrText>
            </w:r>
            <w:r w:rsidRPr="00B33378">
              <w:rPr>
                <w:rFonts w:ascii="Times New Roman" w:eastAsia="Times New Roman" w:hAnsi="Times New Roman" w:cs="Times New Roman"/>
                <w:color w:val="222222"/>
                <w:sz w:val="22"/>
                <w:szCs w:val="22"/>
                <w:shd w:val="clear" w:color="auto" w:fill="FFFFFF"/>
              </w:rPr>
              <w:fldChar w:fldCharType="separate"/>
            </w:r>
            <w:bookmarkStart w:id="1" w:name="_GoBack"/>
            <w:r w:rsidRPr="00B33378">
              <w:rPr>
                <w:rFonts w:ascii="Times New Roman" w:eastAsia="Times New Roman" w:hAnsi="Times New Roman" w:cs="Times New Roman"/>
                <w:noProof/>
                <w:color w:val="222222"/>
                <w:sz w:val="22"/>
                <w:szCs w:val="22"/>
                <w:shd w:val="clear" w:color="auto" w:fill="FFFFFF"/>
              </w:rPr>
              <w:t>[</w:t>
            </w:r>
            <w:r w:rsidR="00B42EFD">
              <w:rPr>
                <w:rFonts w:ascii="Times New Roman" w:eastAsia="Times New Roman" w:hAnsi="Times New Roman" w:cs="Times New Roman"/>
                <w:noProof/>
                <w:color w:val="222222"/>
                <w:sz w:val="22"/>
                <w:szCs w:val="22"/>
                <w:shd w:val="clear" w:color="auto" w:fill="FFFFFF"/>
              </w:rPr>
              <w:t>1</w:t>
            </w:r>
            <w:bookmarkEnd w:id="1"/>
            <w:r>
              <w:fldChar w:fldCharType="begin"/>
            </w:r>
            <w:r>
              <w:instrText xml:space="preserve"> HYPERLINK \l "_ENREF_25" \o "Bartlett, 2014 #3832" </w:instrText>
            </w:r>
            <w:r>
              <w:fldChar w:fldCharType="separate"/>
            </w:r>
            <w:r>
              <w:rPr>
                <w:rFonts w:ascii="Times New Roman" w:eastAsia="Times New Roman" w:hAnsi="Times New Roman" w:cs="Times New Roman"/>
                <w:noProof/>
                <w:color w:val="222222"/>
                <w:sz w:val="22"/>
                <w:szCs w:val="22"/>
                <w:shd w:val="clear" w:color="auto" w:fill="FFFFFF"/>
              </w:rPr>
              <w:fldChar w:fldCharType="end"/>
            </w:r>
            <w:r w:rsidRPr="00B33378">
              <w:rPr>
                <w:rFonts w:ascii="Times New Roman" w:eastAsia="Times New Roman" w:hAnsi="Times New Roman" w:cs="Times New Roman"/>
                <w:noProof/>
                <w:color w:val="222222"/>
                <w:sz w:val="22"/>
                <w:szCs w:val="22"/>
                <w:shd w:val="clear" w:color="auto" w:fill="FFFFFF"/>
              </w:rPr>
              <w:t>]</w:t>
            </w:r>
            <w:r w:rsidRPr="00B33378">
              <w:rPr>
                <w:rFonts w:ascii="Times New Roman" w:eastAsia="Times New Roman" w:hAnsi="Times New Roman" w:cs="Times New Roman"/>
                <w:color w:val="222222"/>
                <w:sz w:val="22"/>
                <w:szCs w:val="22"/>
                <w:shd w:val="clear" w:color="auto" w:fill="FFFFFF"/>
              </w:rPr>
              <w:fldChar w:fldCharType="end"/>
            </w:r>
          </w:p>
        </w:tc>
      </w:tr>
      <w:tr w:rsidR="00810DEF" w:rsidRPr="00B33378" w:rsidTr="00772338">
        <w:tc>
          <w:tcPr>
            <w:tcW w:w="3528" w:type="dxa"/>
            <w:tcBorders>
              <w:top w:val="nil"/>
              <w:left w:val="nil"/>
              <w:bottom w:val="nil"/>
              <w:right w:val="nil"/>
            </w:tcBorders>
          </w:tcPr>
          <w:p w:rsidR="00810DEF" w:rsidRPr="00B33378" w:rsidRDefault="00810DEF" w:rsidP="00772338">
            <w:pPr>
              <w:spacing w:before="60" w:after="60"/>
              <w:ind w:left="180"/>
              <w:rPr>
                <w:rFonts w:ascii="Times New Roman" w:hAnsi="Times New Roman" w:cs="Times New Roman"/>
                <w:sz w:val="22"/>
                <w:szCs w:val="22"/>
              </w:rPr>
            </w:pPr>
            <w:r w:rsidRPr="00B33378">
              <w:rPr>
                <w:rFonts w:ascii="Times New Roman" w:eastAsia="Times New Roman" w:hAnsi="Times New Roman" w:cs="Times New Roman"/>
                <w:color w:val="000000"/>
                <w:sz w:val="22"/>
                <w:szCs w:val="22"/>
              </w:rPr>
              <w:t>Implementation of updated EBT processing and retail infrastructure</w:t>
            </w:r>
          </w:p>
        </w:tc>
        <w:tc>
          <w:tcPr>
            <w:tcW w:w="1890" w:type="dxa"/>
            <w:tcBorders>
              <w:top w:val="nil"/>
              <w:left w:val="nil"/>
              <w:bottom w:val="nil"/>
              <w:right w:val="nil"/>
            </w:tcBorders>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$69,684,913</w:t>
            </w:r>
          </w:p>
          <w:p w:rsidR="00810DEF" w:rsidRPr="00B33378" w:rsidRDefault="00810DEF" w:rsidP="00772338">
            <w:pPr>
              <w:spacing w:before="60" w:after="60"/>
              <w:jc w:val="center"/>
              <w:rPr>
                <w:rFonts w:ascii="Times New Roman" w:hAnsi="Times New Roman" w:cs="Times New Roman"/>
                <w:sz w:val="22"/>
                <w:szCs w:val="22"/>
              </w:rPr>
            </w:pPr>
          </w:p>
        </w:tc>
        <w:tc>
          <w:tcPr>
            <w:tcW w:w="1764" w:type="dxa"/>
            <w:tcBorders>
              <w:top w:val="nil"/>
              <w:left w:val="nil"/>
              <w:bottom w:val="nil"/>
              <w:right w:val="nil"/>
            </w:tcBorders>
          </w:tcPr>
          <w:p w:rsidR="00810DEF" w:rsidRPr="00B33378" w:rsidRDefault="00810DEF" w:rsidP="00772338">
            <w:pPr>
              <w:spacing w:before="60" w:after="60"/>
              <w:jc w:val="center"/>
              <w:rPr>
                <w:rFonts w:ascii="Times New Roman" w:hAnsi="Times New Roman" w:cs="Times New Roman"/>
                <w:sz w:val="22"/>
                <w:szCs w:val="22"/>
              </w:rPr>
            </w:pPr>
            <w:r w:rsidRPr="00B33378">
              <w:rPr>
                <w:rFonts w:ascii="Times New Roman" w:hAnsi="Times New Roman" w:cs="Times New Roman"/>
                <w:sz w:val="22"/>
                <w:szCs w:val="22"/>
              </w:rPr>
              <w:t>n/a</w:t>
            </w:r>
          </w:p>
        </w:tc>
        <w:tc>
          <w:tcPr>
            <w:tcW w:w="2826" w:type="dxa"/>
            <w:tcBorders>
              <w:top w:val="nil"/>
              <w:left w:val="nil"/>
              <w:bottom w:val="nil"/>
              <w:right w:val="nil"/>
            </w:tcBorders>
          </w:tcPr>
          <w:p w:rsidR="00810DEF" w:rsidRPr="00B33378" w:rsidRDefault="00810DEF" w:rsidP="00772338">
            <w:pPr>
              <w:spacing w:before="60" w:after="60"/>
              <w:rPr>
                <w:rFonts w:ascii="Times New Roman" w:hAnsi="Times New Roman" w:cs="Times New Roman"/>
                <w:sz w:val="22"/>
                <w:szCs w:val="22"/>
              </w:rPr>
            </w:pPr>
            <w:r w:rsidRPr="00B33378">
              <w:rPr>
                <w:rFonts w:ascii="Times New Roman" w:eastAsia="Times New Roman" w:hAnsi="Times New Roman" w:cs="Times New Roman"/>
                <w:color w:val="222222"/>
                <w:sz w:val="22"/>
                <w:szCs w:val="22"/>
                <w:shd w:val="clear" w:color="auto" w:fill="FFFFFF"/>
              </w:rPr>
              <w:t xml:space="preserve">HIP Final Report </w:t>
            </w:r>
            <w:r w:rsidRPr="00B33378">
              <w:rPr>
                <w:rFonts w:ascii="Times New Roman" w:eastAsia="Times New Roman" w:hAnsi="Times New Roman" w:cs="Times New Roman"/>
                <w:color w:val="222222"/>
                <w:sz w:val="22"/>
                <w:szCs w:val="22"/>
                <w:shd w:val="clear" w:color="auto" w:fill="FFFFFF"/>
              </w:rPr>
              <w:fldChar w:fldCharType="begin"/>
            </w:r>
            <w:r w:rsidRPr="00B33378">
              <w:rPr>
                <w:rFonts w:ascii="Times New Roman" w:eastAsia="Times New Roman" w:hAnsi="Times New Roman" w:cs="Times New Roman"/>
                <w:color w:val="222222"/>
                <w:sz w:val="22"/>
                <w:szCs w:val="22"/>
                <w:shd w:val="clear" w:color="auto" w:fill="FFFFFF"/>
              </w:rPr>
              <w:instrText xml:space="preserve"> ADDIN EN.CITE &lt;EndNote&gt;&lt;Cite&gt;&lt;Author&gt;Bartlett&lt;/Author&gt;&lt;Year&gt;2014&lt;/Year&gt;&lt;RecNum&gt;3832&lt;/RecNum&gt;&lt;DisplayText&gt;[25]&lt;/DisplayText&gt;&lt;record&gt;&lt;rec-number&gt;3832&lt;/rec-number&gt;&lt;foreign-keys&gt;&lt;key app="EN" db-id="xt2fa5pf1vvptiexpvnxtwzjsa5fest5z5vx"&gt;3832&lt;/key&gt;&lt;/foreign-keys&gt;&lt;ref-type name="Web Page"&gt;12&lt;/ref-type&gt;&lt;contributors&gt;&lt;authors&gt;&lt;author&gt;Bartlett, S.&lt;/author&gt;&lt;author&gt;Klerman, J.&lt;/author&gt;&lt;author&gt;Olsho, L.&lt;/author&gt;&lt;author&gt;Logan, C.&lt;/author&gt;&lt;author&gt;Blocklin, M.&lt;/author&gt;&lt;author&gt;Beauregard, M.&lt;/author&gt;&lt;author&gt;Enver, A.&lt;/author&gt;&lt;author&gt;Wilde, P.&lt;/author&gt;&lt;author&gt;Owens, C.&lt;/author&gt;&lt;/authors&gt;&lt;/contributors&gt;&lt;titles&gt;&lt;title&gt;Evaluation of the Healthy Incentives Pilot (HIP): Final Report&lt;/title&gt;&lt;/titles&gt;&lt;volume&gt;2015&lt;/volume&gt;&lt;number&gt;September 30&lt;/number&gt;&lt;dates&gt;&lt;year&gt;2014&lt;/year&gt;&lt;/dates&gt;&lt;pub-location&gt;Alexandria, VA&lt;/pub-location&gt;&lt;publisher&gt;USDA Food and Nutrition Service&lt;/publisher&gt;&lt;urls&gt;&lt;related-urls&gt;&lt;url&gt;http://www.fns.usda.gov/sites/default/files/HIP-Final.pdf&lt;/url&gt;&lt;/related-urls&gt;&lt;/urls&gt;&lt;/record&gt;&lt;/Cite&gt;&lt;/EndNote&gt;</w:instrText>
            </w:r>
            <w:r w:rsidRPr="00B33378">
              <w:rPr>
                <w:rFonts w:ascii="Times New Roman" w:eastAsia="Times New Roman" w:hAnsi="Times New Roman" w:cs="Times New Roman"/>
                <w:color w:val="222222"/>
                <w:sz w:val="22"/>
                <w:szCs w:val="22"/>
                <w:shd w:val="clear" w:color="auto" w:fill="FFFFFF"/>
              </w:rPr>
              <w:fldChar w:fldCharType="separate"/>
            </w:r>
            <w:r w:rsidRPr="00B33378">
              <w:rPr>
                <w:rFonts w:ascii="Times New Roman" w:eastAsia="Times New Roman" w:hAnsi="Times New Roman" w:cs="Times New Roman"/>
                <w:noProof/>
                <w:color w:val="222222"/>
                <w:sz w:val="22"/>
                <w:szCs w:val="22"/>
                <w:shd w:val="clear" w:color="auto" w:fill="FFFFFF"/>
              </w:rPr>
              <w:t>[</w:t>
            </w:r>
            <w:r w:rsidR="00B42EFD">
              <w:t>1</w:t>
            </w:r>
            <w:r w:rsidRPr="00B33378">
              <w:rPr>
                <w:rFonts w:ascii="Times New Roman" w:eastAsia="Times New Roman" w:hAnsi="Times New Roman" w:cs="Times New Roman"/>
                <w:noProof/>
                <w:color w:val="222222"/>
                <w:sz w:val="22"/>
                <w:szCs w:val="22"/>
                <w:shd w:val="clear" w:color="auto" w:fill="FFFFFF"/>
              </w:rPr>
              <w:t>]</w:t>
            </w:r>
            <w:r w:rsidRPr="00B33378">
              <w:rPr>
                <w:rFonts w:ascii="Times New Roman" w:eastAsia="Times New Roman" w:hAnsi="Times New Roman" w:cs="Times New Roman"/>
                <w:color w:val="222222"/>
                <w:sz w:val="22"/>
                <w:szCs w:val="22"/>
                <w:shd w:val="clear" w:color="auto" w:fill="FFFFFF"/>
              </w:rPr>
              <w:fldChar w:fldCharType="end"/>
            </w:r>
          </w:p>
        </w:tc>
      </w:tr>
      <w:tr w:rsidR="00810DEF" w:rsidRPr="00B33378" w:rsidTr="00772338">
        <w:tc>
          <w:tcPr>
            <w:tcW w:w="3528" w:type="dxa"/>
            <w:tcBorders>
              <w:top w:val="nil"/>
              <w:left w:val="nil"/>
              <w:bottom w:val="nil"/>
              <w:right w:val="nil"/>
            </w:tcBorders>
          </w:tcPr>
          <w:p w:rsidR="00810DEF" w:rsidRPr="00B33378" w:rsidRDefault="00810DEF" w:rsidP="00772338">
            <w:pPr>
              <w:spacing w:before="60" w:after="60"/>
              <w:ind w:left="180"/>
              <w:rPr>
                <w:rFonts w:ascii="Times New Roman" w:hAnsi="Times New Roman" w:cs="Times New Roman"/>
                <w:sz w:val="22"/>
                <w:szCs w:val="22"/>
              </w:rPr>
            </w:pPr>
            <w:r w:rsidRPr="00B33378">
              <w:rPr>
                <w:rFonts w:ascii="Times New Roman" w:hAnsi="Times New Roman" w:cs="Times New Roman"/>
                <w:sz w:val="22"/>
                <w:szCs w:val="22"/>
              </w:rPr>
              <w:t xml:space="preserve">Subsequent program administration, participant education, monitoring and evaluation </w:t>
            </w:r>
            <w:r w:rsidRPr="00B33378">
              <w:rPr>
                <w:rFonts w:ascii="Times New Roman" w:hAnsi="Times New Roman" w:cs="Times New Roman"/>
                <w:sz w:val="22"/>
                <w:szCs w:val="22"/>
                <w:vertAlign w:val="superscript"/>
              </w:rPr>
              <w:t>c</w:t>
            </w:r>
          </w:p>
        </w:tc>
        <w:tc>
          <w:tcPr>
            <w:tcW w:w="1890" w:type="dxa"/>
            <w:tcBorders>
              <w:top w:val="nil"/>
              <w:left w:val="nil"/>
              <w:bottom w:val="nil"/>
              <w:right w:val="nil"/>
            </w:tcBorders>
          </w:tcPr>
          <w:p w:rsidR="00810DEF" w:rsidRPr="00B33378" w:rsidRDefault="00810DEF" w:rsidP="00772338">
            <w:pPr>
              <w:spacing w:before="60" w:after="60"/>
              <w:jc w:val="center"/>
              <w:rPr>
                <w:rFonts w:ascii="Times New Roman" w:hAnsi="Times New Roman" w:cs="Times New Roman"/>
                <w:sz w:val="22"/>
                <w:szCs w:val="22"/>
              </w:rPr>
            </w:pPr>
            <w:r w:rsidRPr="00B33378">
              <w:rPr>
                <w:rFonts w:ascii="Times New Roman" w:hAnsi="Times New Roman" w:cs="Times New Roman"/>
                <w:sz w:val="22"/>
                <w:szCs w:val="22"/>
              </w:rPr>
              <w:t>n/a</w:t>
            </w:r>
          </w:p>
        </w:tc>
        <w:tc>
          <w:tcPr>
            <w:tcW w:w="1764" w:type="dxa"/>
            <w:tcBorders>
              <w:top w:val="nil"/>
              <w:left w:val="nil"/>
              <w:bottom w:val="nil"/>
              <w:right w:val="nil"/>
            </w:tcBorders>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$5,638,225</w:t>
            </w:r>
          </w:p>
          <w:p w:rsidR="00810DEF" w:rsidRPr="00B33378" w:rsidRDefault="00810DEF" w:rsidP="00772338">
            <w:pPr>
              <w:spacing w:before="60" w:after="60"/>
              <w:jc w:val="center"/>
              <w:rPr>
                <w:rFonts w:ascii="Times New Roman" w:hAnsi="Times New Roman" w:cs="Times New Roman"/>
                <w:sz w:val="22"/>
                <w:szCs w:val="22"/>
              </w:rPr>
            </w:pPr>
          </w:p>
        </w:tc>
        <w:tc>
          <w:tcPr>
            <w:tcW w:w="2826" w:type="dxa"/>
            <w:tcBorders>
              <w:top w:val="nil"/>
              <w:left w:val="nil"/>
              <w:bottom w:val="nil"/>
              <w:right w:val="nil"/>
            </w:tcBorders>
          </w:tcPr>
          <w:p w:rsidR="00810DEF" w:rsidRPr="00B33378" w:rsidRDefault="00810DEF" w:rsidP="00772338">
            <w:pPr>
              <w:tabs>
                <w:tab w:val="left" w:pos="2178"/>
              </w:tabs>
              <w:spacing w:before="60" w:after="60"/>
              <w:ind w:right="-18"/>
              <w:rPr>
                <w:rFonts w:ascii="Times New Roman" w:hAnsi="Times New Roman" w:cs="Times New Roman"/>
                <w:sz w:val="22"/>
                <w:szCs w:val="22"/>
              </w:rPr>
            </w:pPr>
            <w:r w:rsidRPr="00B33378">
              <w:rPr>
                <w:rFonts w:ascii="Times New Roman" w:eastAsia="Times New Roman" w:hAnsi="Times New Roman" w:cs="Times New Roman"/>
                <w:color w:val="222222"/>
                <w:sz w:val="22"/>
                <w:szCs w:val="22"/>
                <w:shd w:val="clear" w:color="auto" w:fill="FFFFFF"/>
              </w:rPr>
              <w:t>Estimation based on the cost of the HIP evaluation</w:t>
            </w:r>
          </w:p>
        </w:tc>
      </w:tr>
      <w:tr w:rsidR="00810DEF" w:rsidRPr="00B33378" w:rsidTr="00772338">
        <w:tc>
          <w:tcPr>
            <w:tcW w:w="3528" w:type="dxa"/>
            <w:tcBorders>
              <w:top w:val="nil"/>
              <w:left w:val="nil"/>
              <w:bottom w:val="nil"/>
              <w:right w:val="nil"/>
            </w:tcBorders>
          </w:tcPr>
          <w:p w:rsidR="00810DEF" w:rsidRPr="00B33378" w:rsidRDefault="00810DEF" w:rsidP="00772338">
            <w:pPr>
              <w:spacing w:before="60" w:after="60"/>
              <w:rPr>
                <w:rFonts w:ascii="Times New Roman" w:hAnsi="Times New Roman" w:cs="Times New Roman"/>
                <w:sz w:val="22"/>
                <w:szCs w:val="22"/>
              </w:rPr>
            </w:pPr>
          </w:p>
        </w:tc>
        <w:tc>
          <w:tcPr>
            <w:tcW w:w="1890" w:type="dxa"/>
            <w:tcBorders>
              <w:top w:val="nil"/>
              <w:left w:val="nil"/>
              <w:bottom w:val="nil"/>
              <w:right w:val="nil"/>
            </w:tcBorders>
          </w:tcPr>
          <w:p w:rsidR="00810DEF" w:rsidRPr="00B33378" w:rsidRDefault="00810DEF" w:rsidP="00772338">
            <w:pPr>
              <w:spacing w:before="60" w:after="60"/>
              <w:rPr>
                <w:rFonts w:ascii="Times New Roman" w:hAnsi="Times New Roman" w:cs="Times New Roman"/>
                <w:sz w:val="22"/>
                <w:szCs w:val="22"/>
              </w:rPr>
            </w:pPr>
          </w:p>
        </w:tc>
        <w:tc>
          <w:tcPr>
            <w:tcW w:w="1764" w:type="dxa"/>
            <w:tcBorders>
              <w:top w:val="nil"/>
              <w:left w:val="nil"/>
              <w:bottom w:val="nil"/>
              <w:right w:val="nil"/>
            </w:tcBorders>
          </w:tcPr>
          <w:p w:rsidR="00810DEF" w:rsidRPr="00B33378" w:rsidRDefault="00810DEF" w:rsidP="00772338">
            <w:pPr>
              <w:spacing w:before="60" w:after="60"/>
              <w:rPr>
                <w:rFonts w:ascii="Times New Roman" w:eastAsia="Times New Roman" w:hAnsi="Times New Roman" w:cs="Times New Roman"/>
                <w:color w:val="000000"/>
                <w:sz w:val="22"/>
                <w:szCs w:val="22"/>
              </w:rPr>
            </w:pPr>
          </w:p>
        </w:tc>
        <w:tc>
          <w:tcPr>
            <w:tcW w:w="2826" w:type="dxa"/>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p>
        </w:tc>
      </w:tr>
      <w:tr w:rsidR="00810DEF" w:rsidRPr="00B33378" w:rsidTr="00772338">
        <w:tc>
          <w:tcPr>
            <w:tcW w:w="10008" w:type="dxa"/>
            <w:gridSpan w:val="4"/>
            <w:tcBorders>
              <w:top w:val="nil"/>
              <w:left w:val="nil"/>
              <w:bottom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r w:rsidRPr="00B33378">
              <w:rPr>
                <w:rFonts w:ascii="Times New Roman" w:hAnsi="Times New Roman" w:cs="Times New Roman"/>
                <w:b/>
                <w:sz w:val="22"/>
                <w:szCs w:val="22"/>
              </w:rPr>
              <w:t>Subsidy cost/disincentive revenue on dietary target</w:t>
            </w:r>
            <w:r w:rsidRPr="00B33378">
              <w:rPr>
                <w:rFonts w:ascii="Times New Roman" w:hAnsi="Times New Roman" w:cs="Times New Roman"/>
                <w:sz w:val="22"/>
                <w:szCs w:val="22"/>
                <w:vertAlign w:val="superscript"/>
              </w:rPr>
              <w:t xml:space="preserve"> d</w:t>
            </w:r>
          </w:p>
        </w:tc>
      </w:tr>
      <w:tr w:rsidR="00810DEF" w:rsidRPr="00B33378" w:rsidTr="00772338">
        <w:tc>
          <w:tcPr>
            <w:tcW w:w="3528" w:type="dxa"/>
            <w:tcBorders>
              <w:top w:val="nil"/>
              <w:left w:val="nil"/>
              <w:bottom w:val="nil"/>
              <w:right w:val="nil"/>
            </w:tcBorders>
          </w:tcPr>
          <w:p w:rsidR="00810DEF" w:rsidRPr="00B33378" w:rsidRDefault="00810DEF" w:rsidP="00772338">
            <w:pPr>
              <w:spacing w:before="60" w:after="60"/>
              <w:ind w:left="180"/>
              <w:rPr>
                <w:rFonts w:ascii="Times New Roman" w:hAnsi="Times New Roman" w:cs="Times New Roman"/>
                <w:sz w:val="22"/>
                <w:szCs w:val="22"/>
              </w:rPr>
            </w:pPr>
            <w:r w:rsidRPr="00B33378">
              <w:rPr>
                <w:rFonts w:ascii="Times New Roman" w:hAnsi="Times New Roman" w:cs="Times New Roman"/>
                <w:sz w:val="22"/>
                <w:szCs w:val="22"/>
              </w:rPr>
              <w:t>Fruit (subsidy)</w:t>
            </w:r>
            <w:r w:rsidRPr="00B33378">
              <w:t xml:space="preserve"> </w:t>
            </w:r>
          </w:p>
        </w:tc>
        <w:tc>
          <w:tcPr>
            <w:tcW w:w="3654" w:type="dxa"/>
            <w:gridSpan w:val="2"/>
            <w:tcBorders>
              <w:top w:val="nil"/>
              <w:left w:val="nil"/>
              <w:bottom w:val="nil"/>
              <w:right w:val="nil"/>
            </w:tcBorders>
            <w:vAlign w:val="bottom"/>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$0.33680 per 100 g</w:t>
            </w:r>
          </w:p>
        </w:tc>
        <w:tc>
          <w:tcPr>
            <w:tcW w:w="2826" w:type="dxa"/>
            <w:vMerge w:val="restart"/>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r w:rsidRPr="00B33378">
              <w:rPr>
                <w:rFonts w:ascii="Times New Roman" w:hAnsi="Times New Roman" w:cs="Times New Roman"/>
                <w:sz w:val="22"/>
                <w:szCs w:val="22"/>
              </w:rPr>
              <w:t xml:space="preserve">USDA Economic Research Service (ERS) Quarterly Food-at-Home Price Database </w:t>
            </w:r>
            <w:r w:rsidRPr="00B33378">
              <w:rPr>
                <w:rFonts w:ascii="Times New Roman" w:hAnsi="Times New Roman" w:cs="Times New Roman"/>
                <w:sz w:val="22"/>
                <w:szCs w:val="22"/>
              </w:rPr>
              <w:fldChar w:fldCharType="begin"/>
            </w:r>
            <w:r w:rsidRPr="00B33378">
              <w:rPr>
                <w:rFonts w:ascii="Times New Roman" w:hAnsi="Times New Roman" w:cs="Times New Roman"/>
                <w:sz w:val="22"/>
                <w:szCs w:val="22"/>
              </w:rPr>
              <w:instrText xml:space="preserve"> ADDIN EN.CITE &lt;EndNote&gt;&lt;Cite&gt;&lt;Author&gt;U.S. Department of Agriculture&lt;/Author&gt;&lt;RecNum&gt;5455&lt;/RecNum&gt;&lt;DisplayText&gt;[32]&lt;/DisplayText&gt;&lt;record&gt;&lt;rec-number&gt;5455&lt;/rec-number&gt;&lt;foreign-keys&gt;&lt;key app="EN" db-id="xt2fa5pf1vvptiexpvnxtwzjsa5fest5z5vx"&gt;5455&lt;/key&gt;&lt;/foreign-keys&gt;&lt;ref-type name="Web Page"&gt;12&lt;/ref-type&gt;&lt;contributors&gt;&lt;authors&gt;&lt;author&gt;U.S. Department of Agriculture,&lt;/author&gt;&lt;author&gt;Economic Research Service, &lt;/author&gt;&lt;/authors&gt;&lt;/contributors&gt;&lt;titles&gt;&lt;title&gt;Quarterly Food-at-Home Price Database&lt;/title&gt;&lt;/titles&gt;&lt;dates&gt;&lt;/dates&gt;&lt;urls&gt;&lt;related-urls&gt;&lt;url&gt;https://www.ers.usda.gov/data-products/quarterly-food-at-home-price-database/&lt;/url&gt;&lt;/related-urls&gt;&lt;/urls&gt;&lt;/record&gt;&lt;/Cite&gt;&lt;/EndNote&gt;</w:instrText>
            </w:r>
            <w:r w:rsidRPr="00B33378">
              <w:rPr>
                <w:rFonts w:ascii="Times New Roman" w:hAnsi="Times New Roman" w:cs="Times New Roman"/>
                <w:sz w:val="22"/>
                <w:szCs w:val="22"/>
              </w:rPr>
              <w:fldChar w:fldCharType="separate"/>
            </w:r>
            <w:r w:rsidRPr="00B33378">
              <w:rPr>
                <w:rFonts w:ascii="Times New Roman" w:hAnsi="Times New Roman" w:cs="Times New Roman"/>
                <w:noProof/>
                <w:sz w:val="22"/>
                <w:szCs w:val="22"/>
              </w:rPr>
              <w:t>[</w:t>
            </w:r>
            <w:r w:rsidR="00B42EFD">
              <w:rPr>
                <w:rFonts w:ascii="Times New Roman" w:hAnsi="Times New Roman" w:cs="Times New Roman"/>
                <w:noProof/>
                <w:sz w:val="22"/>
                <w:szCs w:val="22"/>
              </w:rPr>
              <w:t>2</w:t>
            </w:r>
            <w:r w:rsidRPr="00B33378">
              <w:rPr>
                <w:rFonts w:ascii="Times New Roman" w:hAnsi="Times New Roman" w:cs="Times New Roman"/>
                <w:noProof/>
                <w:sz w:val="22"/>
                <w:szCs w:val="22"/>
              </w:rPr>
              <w:t>]</w:t>
            </w:r>
            <w:r w:rsidRPr="00B33378">
              <w:rPr>
                <w:rFonts w:ascii="Times New Roman" w:hAnsi="Times New Roman" w:cs="Times New Roman"/>
                <w:sz w:val="22"/>
                <w:szCs w:val="22"/>
              </w:rPr>
              <w:fldChar w:fldCharType="end"/>
            </w:r>
          </w:p>
        </w:tc>
      </w:tr>
      <w:tr w:rsidR="00810DEF" w:rsidRPr="00B33378" w:rsidTr="00772338">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Vegetables (subsidy)</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vAlign w:val="bottom"/>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$0.28901 per 100 g</w:t>
            </w:r>
          </w:p>
        </w:tc>
        <w:tc>
          <w:tcPr>
            <w:tcW w:w="2826" w:type="dxa"/>
            <w:vMerge/>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p>
        </w:tc>
      </w:tr>
      <w:tr w:rsidR="00810DEF" w:rsidRPr="00B33378" w:rsidTr="00772338">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Nuts (subsidy)</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vAlign w:val="bottom"/>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$0.76322 per 100 g</w:t>
            </w:r>
          </w:p>
        </w:tc>
        <w:tc>
          <w:tcPr>
            <w:tcW w:w="2826" w:type="dxa"/>
            <w:vMerge/>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p>
        </w:tc>
      </w:tr>
      <w:tr w:rsidR="00810DEF" w:rsidRPr="00B33378" w:rsidTr="00772338">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Plant-based oils (subsidy)</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vAlign w:val="bottom"/>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$0.75732 per 100 g</w:t>
            </w:r>
          </w:p>
        </w:tc>
        <w:tc>
          <w:tcPr>
            <w:tcW w:w="2826" w:type="dxa"/>
            <w:vMerge/>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p>
        </w:tc>
      </w:tr>
      <w:tr w:rsidR="00810DEF" w:rsidRPr="00B33378" w:rsidTr="00772338">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Fish (subsidy)</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vAlign w:val="bottom"/>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$1.15186 per 100 g</w:t>
            </w:r>
          </w:p>
        </w:tc>
        <w:tc>
          <w:tcPr>
            <w:tcW w:w="2826" w:type="dxa"/>
            <w:vMerge/>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p>
        </w:tc>
      </w:tr>
      <w:tr w:rsidR="00810DEF" w:rsidRPr="00B33378" w:rsidTr="00772338">
        <w:trPr>
          <w:trHeight w:val="72"/>
        </w:trPr>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Whole grains (subsidy)</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vAlign w:val="bottom"/>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$0.64420 per 100 g</w:t>
            </w:r>
          </w:p>
        </w:tc>
        <w:tc>
          <w:tcPr>
            <w:tcW w:w="2826" w:type="dxa"/>
            <w:vMerge/>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p>
        </w:tc>
      </w:tr>
      <w:tr w:rsidR="00810DEF" w:rsidRPr="00B33378" w:rsidTr="00772338">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rPr>
            </w:pPr>
            <w:r w:rsidRPr="00B33378">
              <w:rPr>
                <w:rFonts w:ascii="Times New Roman" w:hAnsi="Times New Roman" w:cs="Times New Roman"/>
                <w:sz w:val="22"/>
                <w:szCs w:val="22"/>
              </w:rPr>
              <w:t>SSBs (disincentive)</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 xml:space="preserve">$0.062925 per </w:t>
            </w:r>
            <w:proofErr w:type="spellStart"/>
            <w:r w:rsidRPr="00B33378">
              <w:rPr>
                <w:rFonts w:ascii="Times New Roman" w:eastAsia="Times New Roman" w:hAnsi="Times New Roman" w:cs="Times New Roman"/>
                <w:color w:val="000000"/>
                <w:sz w:val="22"/>
                <w:szCs w:val="22"/>
              </w:rPr>
              <w:t>fl</w:t>
            </w:r>
            <w:proofErr w:type="spellEnd"/>
            <w:r w:rsidRPr="00B33378">
              <w:rPr>
                <w:rFonts w:ascii="Times New Roman" w:eastAsia="Times New Roman" w:hAnsi="Times New Roman" w:cs="Times New Roman"/>
                <w:color w:val="000000"/>
                <w:sz w:val="22"/>
                <w:szCs w:val="22"/>
              </w:rPr>
              <w:t>-oz</w:t>
            </w:r>
          </w:p>
        </w:tc>
        <w:tc>
          <w:tcPr>
            <w:tcW w:w="2826" w:type="dxa"/>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r w:rsidRPr="00B33378">
              <w:rPr>
                <w:rFonts w:ascii="Times New Roman" w:eastAsia="Times New Roman" w:hAnsi="Times New Roman" w:cs="Times New Roman"/>
                <w:color w:val="000000"/>
                <w:sz w:val="22"/>
                <w:szCs w:val="22"/>
              </w:rPr>
              <w:t xml:space="preserve">Powell et al. 2012 </w:t>
            </w:r>
            <w:r w:rsidRPr="00B33378">
              <w:rPr>
                <w:rFonts w:ascii="Times New Roman" w:eastAsia="Times New Roman" w:hAnsi="Times New Roman" w:cs="Times New Roman"/>
                <w:color w:val="000000"/>
                <w:sz w:val="22"/>
                <w:szCs w:val="22"/>
              </w:rPr>
              <w:fldChar w:fldCharType="begin"/>
            </w:r>
            <w:r w:rsidRPr="00B33378">
              <w:rPr>
                <w:rFonts w:ascii="Times New Roman" w:eastAsia="Times New Roman" w:hAnsi="Times New Roman" w:cs="Times New Roman"/>
                <w:color w:val="000000"/>
                <w:sz w:val="22"/>
                <w:szCs w:val="22"/>
              </w:rPr>
              <w:instrText xml:space="preserve"> ADDIN EN.CITE &lt;EndNote&gt;&lt;Cite&gt;&lt;Author&gt;Powell&lt;/Author&gt;&lt;Year&gt;2014&lt;/Year&gt;&lt;RecNum&gt;5456&lt;/RecNum&gt;&lt;DisplayText&gt;[33]&lt;/DisplayText&gt;&lt;record&gt;&lt;rec-number&gt;5456&lt;/rec-number&gt;&lt;foreign-keys&gt;&lt;key app="EN" db-id="xt2fa5pf1vvptiexpvnxtwzjsa5fest5z5vx"&gt;5456&lt;/key&gt;&lt;/foreign-keys&gt;&lt;ref-type name="Journal Article"&gt;17&lt;/ref-type&gt;&lt;contributors&gt;&lt;authors&gt;&lt;author&gt;Powell, LM&lt;/author&gt;&lt;author&gt;Isgor, Z&lt;/author&gt;&lt;author&gt;Rimkus, L&lt;/author&gt;&lt;author&gt;Chaloupka, FJ&lt;/author&gt;&lt;/authors&gt;&lt;/contributors&gt;&lt;titles&gt;&lt;title&gt;Sugar-sweetened beverage prices: estimates from a national sample of food outlets&lt;/title&gt;&lt;secondary-title&gt;Bridging the Gap Program, Health Policy Center, Institute for Health Research and Policy, University of Illinois at Chicago, Chicago, IL&lt;/secondary-title&gt;&lt;/titles&gt;&lt;periodical&gt;&lt;full-title&gt;Bridging the Gap Program, Health Policy Center, Institute for Health Research and Policy, University of Illinois at Chicago, Chicago, IL&lt;/full-title&gt;&lt;/periodical&gt;&lt;dates&gt;&lt;year&gt;2014&lt;/year&gt;&lt;/dates&gt;&lt;urls&gt;&lt;/urls&gt;&lt;/record&gt;&lt;/Cite&gt;&lt;/EndNote&gt;</w:instrText>
            </w:r>
            <w:r w:rsidRPr="00B33378">
              <w:rPr>
                <w:rFonts w:ascii="Times New Roman" w:eastAsia="Times New Roman" w:hAnsi="Times New Roman" w:cs="Times New Roman"/>
                <w:color w:val="000000"/>
                <w:sz w:val="22"/>
                <w:szCs w:val="22"/>
              </w:rPr>
              <w:fldChar w:fldCharType="separate"/>
            </w:r>
            <w:r w:rsidRPr="00B33378">
              <w:rPr>
                <w:rFonts w:ascii="Times New Roman" w:eastAsia="Times New Roman" w:hAnsi="Times New Roman" w:cs="Times New Roman"/>
                <w:noProof/>
                <w:color w:val="000000"/>
                <w:sz w:val="22"/>
                <w:szCs w:val="22"/>
              </w:rPr>
              <w:t>[</w:t>
            </w:r>
            <w:hyperlink w:anchor="_ENREF_33" w:tooltip="Powell, 2014 #5456" w:history="1">
              <w:r w:rsidRPr="00B33378">
                <w:rPr>
                  <w:rFonts w:ascii="Times New Roman" w:eastAsia="Times New Roman" w:hAnsi="Times New Roman" w:cs="Times New Roman"/>
                  <w:noProof/>
                  <w:color w:val="000000"/>
                  <w:sz w:val="22"/>
                  <w:szCs w:val="22"/>
                </w:rPr>
                <w:t>3</w:t>
              </w:r>
            </w:hyperlink>
            <w:r w:rsidRPr="00B33378">
              <w:rPr>
                <w:rFonts w:ascii="Times New Roman" w:eastAsia="Times New Roman" w:hAnsi="Times New Roman" w:cs="Times New Roman"/>
                <w:noProof/>
                <w:color w:val="000000"/>
                <w:sz w:val="22"/>
                <w:szCs w:val="22"/>
              </w:rPr>
              <w:t>]</w:t>
            </w:r>
            <w:r w:rsidRPr="00B33378">
              <w:rPr>
                <w:rFonts w:ascii="Times New Roman" w:eastAsia="Times New Roman" w:hAnsi="Times New Roman" w:cs="Times New Roman"/>
                <w:color w:val="000000"/>
                <w:sz w:val="22"/>
                <w:szCs w:val="22"/>
              </w:rPr>
              <w:fldChar w:fldCharType="end"/>
            </w:r>
          </w:p>
        </w:tc>
      </w:tr>
      <w:tr w:rsidR="00810DEF" w:rsidRPr="00B33378" w:rsidTr="00772338">
        <w:tc>
          <w:tcPr>
            <w:tcW w:w="3528" w:type="dxa"/>
            <w:tcBorders>
              <w:top w:val="nil"/>
              <w:left w:val="nil"/>
              <w:bottom w:val="nil"/>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Junk food (disincentive)</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nil"/>
              <w:right w:val="nil"/>
            </w:tcBorders>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$0.94408 per 100 g</w:t>
            </w:r>
          </w:p>
        </w:tc>
        <w:tc>
          <w:tcPr>
            <w:tcW w:w="2826" w:type="dxa"/>
            <w:tcBorders>
              <w:top w:val="nil"/>
              <w:left w:val="nil"/>
              <w:bottom w:val="nil"/>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r w:rsidRPr="00B33378">
              <w:rPr>
                <w:rFonts w:ascii="Times New Roman" w:hAnsi="Times New Roman" w:cs="Times New Roman"/>
                <w:sz w:val="22"/>
                <w:szCs w:val="22"/>
              </w:rPr>
              <w:t xml:space="preserve">ERS Quarterly Food-at-Home Price Database </w:t>
            </w:r>
            <w:r w:rsidRPr="00B33378">
              <w:rPr>
                <w:rFonts w:ascii="Times New Roman" w:hAnsi="Times New Roman" w:cs="Times New Roman"/>
                <w:sz w:val="22"/>
                <w:szCs w:val="22"/>
              </w:rPr>
              <w:fldChar w:fldCharType="begin"/>
            </w:r>
            <w:r w:rsidRPr="00B33378">
              <w:rPr>
                <w:rFonts w:ascii="Times New Roman" w:hAnsi="Times New Roman" w:cs="Times New Roman"/>
                <w:sz w:val="22"/>
                <w:szCs w:val="22"/>
              </w:rPr>
              <w:instrText xml:space="preserve"> ADDIN EN.CITE &lt;EndNote&gt;&lt;Cite&gt;&lt;Author&gt;U.S. Department of Agriculture&lt;/Author&gt;&lt;RecNum&gt;5455&lt;/RecNum&gt;&lt;DisplayText&gt;[32]&lt;/DisplayText&gt;&lt;record&gt;&lt;rec-number&gt;5455&lt;/rec-number&gt;&lt;foreign-keys&gt;&lt;key app="EN" db-id="xt2fa5pf1vvptiexpvnxtwzjsa5fest5z5vx"&gt;5455&lt;/key&gt;&lt;/foreign-keys&gt;&lt;ref-type name="Web Page"&gt;12&lt;/ref-type&gt;&lt;contributors&gt;&lt;authors&gt;&lt;author&gt;U.S. Department of Agriculture,&lt;/author&gt;&lt;author&gt;Economic Research Service, &lt;/author&gt;&lt;/authors&gt;&lt;/contributors&gt;&lt;titles&gt;&lt;title&gt;Quarterly Food-at-Home Price Database&lt;/title&gt;&lt;/titles&gt;&lt;dates&gt;&lt;/dates&gt;&lt;urls&gt;&lt;related-urls&gt;&lt;url&gt;https://www.ers.usda.gov/data-products/quarterly-food-at-home-price-database/&lt;/url&gt;&lt;/related-urls&gt;&lt;/urls&gt;&lt;/record&gt;&lt;/Cite&gt;&lt;/EndNote&gt;</w:instrText>
            </w:r>
            <w:r w:rsidRPr="00B33378">
              <w:rPr>
                <w:rFonts w:ascii="Times New Roman" w:hAnsi="Times New Roman" w:cs="Times New Roman"/>
                <w:sz w:val="22"/>
                <w:szCs w:val="22"/>
              </w:rPr>
              <w:fldChar w:fldCharType="separate"/>
            </w:r>
            <w:r w:rsidRPr="00B33378">
              <w:rPr>
                <w:rFonts w:ascii="Times New Roman" w:hAnsi="Times New Roman" w:cs="Times New Roman"/>
                <w:noProof/>
                <w:sz w:val="22"/>
                <w:szCs w:val="22"/>
              </w:rPr>
              <w:t>[</w:t>
            </w:r>
            <w:hyperlink w:anchor="_ENREF_32" w:tooltip="U.S. Department of Agriculture,  #5455" w:history="1">
              <w:r w:rsidRPr="00B33378">
                <w:rPr>
                  <w:rFonts w:ascii="Times New Roman" w:hAnsi="Times New Roman" w:cs="Times New Roman"/>
                  <w:noProof/>
                  <w:sz w:val="22"/>
                  <w:szCs w:val="22"/>
                </w:rPr>
                <w:t>2</w:t>
              </w:r>
            </w:hyperlink>
            <w:r w:rsidRPr="00B33378">
              <w:rPr>
                <w:rFonts w:ascii="Times New Roman" w:hAnsi="Times New Roman" w:cs="Times New Roman"/>
                <w:noProof/>
                <w:sz w:val="22"/>
                <w:szCs w:val="22"/>
              </w:rPr>
              <w:t>]</w:t>
            </w:r>
            <w:r w:rsidRPr="00B33378">
              <w:rPr>
                <w:rFonts w:ascii="Times New Roman" w:hAnsi="Times New Roman" w:cs="Times New Roman"/>
                <w:sz w:val="22"/>
                <w:szCs w:val="22"/>
              </w:rPr>
              <w:fldChar w:fldCharType="end"/>
            </w:r>
          </w:p>
        </w:tc>
      </w:tr>
      <w:tr w:rsidR="00810DEF" w:rsidRPr="00B33378" w:rsidTr="00772338">
        <w:tc>
          <w:tcPr>
            <w:tcW w:w="3528" w:type="dxa"/>
            <w:tcBorders>
              <w:top w:val="nil"/>
              <w:left w:val="nil"/>
              <w:bottom w:val="single" w:sz="12" w:space="0" w:color="auto"/>
              <w:right w:val="nil"/>
            </w:tcBorders>
          </w:tcPr>
          <w:p w:rsidR="00810DEF" w:rsidRPr="00B33378" w:rsidRDefault="00810DEF" w:rsidP="00772338">
            <w:pPr>
              <w:spacing w:before="120"/>
              <w:ind w:left="180"/>
              <w:rPr>
                <w:rFonts w:ascii="Times New Roman" w:hAnsi="Times New Roman" w:cs="Times New Roman"/>
                <w:sz w:val="22"/>
                <w:szCs w:val="22"/>
                <w:vertAlign w:val="superscript"/>
              </w:rPr>
            </w:pPr>
            <w:r w:rsidRPr="00B33378">
              <w:rPr>
                <w:rFonts w:ascii="Times New Roman" w:hAnsi="Times New Roman" w:cs="Times New Roman"/>
                <w:sz w:val="22"/>
                <w:szCs w:val="22"/>
              </w:rPr>
              <w:t>Processed meat (disincentive)</w:t>
            </w:r>
            <w:r w:rsidRPr="00B33378">
              <w:rPr>
                <w:rFonts w:ascii="Times New Roman" w:hAnsi="Times New Roman" w:cs="Times New Roman"/>
                <w:sz w:val="22"/>
                <w:szCs w:val="22"/>
                <w:vertAlign w:val="superscript"/>
              </w:rPr>
              <w:t xml:space="preserve"> </w:t>
            </w:r>
          </w:p>
        </w:tc>
        <w:tc>
          <w:tcPr>
            <w:tcW w:w="3654" w:type="dxa"/>
            <w:gridSpan w:val="2"/>
            <w:tcBorders>
              <w:top w:val="nil"/>
              <w:left w:val="nil"/>
              <w:bottom w:val="single" w:sz="12" w:space="0" w:color="auto"/>
              <w:right w:val="nil"/>
            </w:tcBorders>
          </w:tcPr>
          <w:p w:rsidR="00810DEF" w:rsidRPr="00B33378" w:rsidRDefault="00810DEF" w:rsidP="00772338">
            <w:pPr>
              <w:spacing w:before="60" w:after="60"/>
              <w:jc w:val="center"/>
              <w:rPr>
                <w:rFonts w:ascii="Times New Roman" w:eastAsia="Times New Roman" w:hAnsi="Times New Roman" w:cs="Times New Roman"/>
                <w:color w:val="000000"/>
                <w:sz w:val="22"/>
                <w:szCs w:val="22"/>
              </w:rPr>
            </w:pPr>
            <w:r w:rsidRPr="00B33378">
              <w:rPr>
                <w:rFonts w:ascii="Times New Roman" w:eastAsia="Times New Roman" w:hAnsi="Times New Roman" w:cs="Times New Roman"/>
                <w:color w:val="000000"/>
                <w:sz w:val="22"/>
                <w:szCs w:val="22"/>
              </w:rPr>
              <w:t>$0.61435 per 100 g</w:t>
            </w:r>
          </w:p>
        </w:tc>
        <w:tc>
          <w:tcPr>
            <w:tcW w:w="2826" w:type="dxa"/>
            <w:tcBorders>
              <w:top w:val="nil"/>
              <w:left w:val="nil"/>
              <w:bottom w:val="single" w:sz="12" w:space="0" w:color="auto"/>
              <w:right w:val="nil"/>
            </w:tcBorders>
          </w:tcPr>
          <w:p w:rsidR="00810DEF" w:rsidRPr="00B33378" w:rsidRDefault="00810DEF" w:rsidP="00772338">
            <w:pPr>
              <w:tabs>
                <w:tab w:val="left" w:pos="2178"/>
              </w:tabs>
              <w:spacing w:before="60" w:after="60"/>
              <w:ind w:right="-18"/>
              <w:rPr>
                <w:rFonts w:ascii="Times New Roman" w:eastAsia="Times New Roman" w:hAnsi="Times New Roman" w:cs="Times New Roman"/>
                <w:color w:val="222222"/>
                <w:sz w:val="22"/>
                <w:szCs w:val="22"/>
                <w:shd w:val="clear" w:color="auto" w:fill="FFFFFF"/>
              </w:rPr>
            </w:pPr>
            <w:r w:rsidRPr="00B33378">
              <w:rPr>
                <w:rFonts w:ascii="Times New Roman" w:eastAsia="Times New Roman" w:hAnsi="Times New Roman" w:cs="Times New Roman"/>
                <w:sz w:val="22"/>
                <w:szCs w:val="22"/>
              </w:rPr>
              <w:t>Consumer Expenditure Survey</w:t>
            </w:r>
            <w:r w:rsidRPr="00B33378">
              <w:rPr>
                <w:rFonts w:ascii="Times New Roman" w:eastAsia="Times New Roman" w:hAnsi="Times New Roman" w:cs="Times New Roman"/>
                <w:sz w:val="22"/>
                <w:szCs w:val="22"/>
              </w:rPr>
              <w:fldChar w:fldCharType="begin"/>
            </w:r>
            <w:r w:rsidRPr="00B33378">
              <w:rPr>
                <w:rFonts w:ascii="Times New Roman" w:eastAsia="Times New Roman" w:hAnsi="Times New Roman" w:cs="Times New Roman"/>
                <w:sz w:val="22"/>
                <w:szCs w:val="22"/>
              </w:rPr>
              <w:instrText xml:space="preserve"> ADDIN EN.CITE &lt;EndNote&gt;&lt;Cite&gt;&lt;Author&gt;Bureau of Labor Statistics&lt;/Author&gt;&lt;Year&gt;2016&lt;/Year&gt;&lt;RecNum&gt;5542&lt;/RecNum&gt;&lt;DisplayText&gt;[34]&lt;/DisplayText&gt;&lt;record&gt;&lt;rec-number&gt;5542&lt;/rec-number&gt;&lt;foreign-keys&gt;&lt;key app="EN" db-id="xt2fa5pf1vvptiexpvnxtwzjsa5fest5z5vx"&gt;5542&lt;/key&gt;&lt;/foreign-keys&gt;&lt;ref-type name="Electronic Article"&gt;43&lt;/ref-type&gt;&lt;contributors&gt;&lt;authors&gt;&lt;author&gt;Bureau of Labor Statistics,&lt;/author&gt;&lt;author&gt;U.S. Department of Labor,&lt;/author&gt;&lt;/authors&gt;&lt;/contributors&gt;&lt;titles&gt;&lt;title&gt;Consumer Expenditure Survey&lt;/title&gt;&lt;/titles&gt;&lt;dates&gt;&lt;year&gt;2016&lt;/year&gt;&lt;pub-dates&gt;&lt;date&gt;Jan 24, 2018&lt;/date&gt;&lt;/pub-dates&gt;&lt;/dates&gt;&lt;urls&gt;&lt;related-urls&gt;&lt;url&gt;https://www.bls.gov/cex/&lt;/url&gt;&lt;/related-urls&gt;&lt;/urls&gt;&lt;/record&gt;&lt;/Cite&gt;&lt;/EndNote&gt;</w:instrText>
            </w:r>
            <w:r w:rsidRPr="00B33378">
              <w:rPr>
                <w:rFonts w:ascii="Times New Roman" w:eastAsia="Times New Roman" w:hAnsi="Times New Roman" w:cs="Times New Roman"/>
                <w:sz w:val="22"/>
                <w:szCs w:val="22"/>
              </w:rPr>
              <w:fldChar w:fldCharType="separate"/>
            </w:r>
            <w:r w:rsidRPr="00B33378">
              <w:rPr>
                <w:rFonts w:ascii="Times New Roman" w:eastAsia="Times New Roman" w:hAnsi="Times New Roman" w:cs="Times New Roman"/>
                <w:noProof/>
                <w:sz w:val="22"/>
                <w:szCs w:val="22"/>
              </w:rPr>
              <w:t>[</w:t>
            </w:r>
            <w:hyperlink w:anchor="_ENREF_34" w:tooltip="Bureau of Labor Statistics, 2016 #5542" w:history="1">
              <w:r w:rsidRPr="00B33378">
                <w:rPr>
                  <w:rFonts w:ascii="Times New Roman" w:eastAsia="Times New Roman" w:hAnsi="Times New Roman" w:cs="Times New Roman"/>
                  <w:noProof/>
                  <w:sz w:val="22"/>
                  <w:szCs w:val="22"/>
                </w:rPr>
                <w:t>4</w:t>
              </w:r>
            </w:hyperlink>
            <w:r w:rsidRPr="00B33378">
              <w:rPr>
                <w:rFonts w:ascii="Times New Roman" w:eastAsia="Times New Roman" w:hAnsi="Times New Roman" w:cs="Times New Roman"/>
                <w:noProof/>
                <w:sz w:val="22"/>
                <w:szCs w:val="22"/>
              </w:rPr>
              <w:t>]</w:t>
            </w:r>
            <w:r w:rsidRPr="00B33378">
              <w:rPr>
                <w:rFonts w:ascii="Times New Roman" w:eastAsia="Times New Roman" w:hAnsi="Times New Roman" w:cs="Times New Roman"/>
                <w:sz w:val="22"/>
                <w:szCs w:val="22"/>
              </w:rPr>
              <w:fldChar w:fldCharType="end"/>
            </w:r>
            <w:r w:rsidRPr="00B33378">
              <w:rPr>
                <w:rFonts w:ascii="Times New Roman" w:eastAsia="Times New Roman" w:hAnsi="Times New Roman" w:cs="Times New Roman"/>
                <w:sz w:val="22"/>
                <w:szCs w:val="22"/>
              </w:rPr>
              <w:t>; USDA SNAP report</w:t>
            </w:r>
            <w:r w:rsidRPr="00B33378">
              <w:rPr>
                <w:rFonts w:ascii="Times New Roman" w:eastAsia="Times New Roman" w:hAnsi="Times New Roman" w:cs="Times New Roman"/>
                <w:sz w:val="22"/>
                <w:szCs w:val="22"/>
              </w:rPr>
              <w:fldChar w:fldCharType="begin"/>
            </w:r>
            <w:r w:rsidRPr="00B33378">
              <w:rPr>
                <w:rFonts w:ascii="Times New Roman" w:eastAsia="Times New Roman" w:hAnsi="Times New Roman" w:cs="Times New Roman"/>
                <w:sz w:val="22"/>
                <w:szCs w:val="22"/>
              </w:rPr>
              <w:instrText xml:space="preserve"> ADDIN EN.CITE &lt;EndNote&gt;&lt;Cite&gt;&lt;Author&gt;Garasky&lt;/Author&gt;&lt;Year&gt;2016&lt;/Year&gt;&lt;RecNum&gt;5408&lt;/RecNum&gt;&lt;DisplayText&gt;[35]&lt;/DisplayText&gt;&lt;record&gt;&lt;rec-number&gt;5408&lt;/rec-number&gt;&lt;foreign-keys&gt;&lt;key app="EN" db-id="xt2fa5pf1vvptiexpvnxtwzjsa5fest5z5vx"&gt;5408&lt;/key&gt;&lt;/foreign-keys&gt;&lt;ref-type name="Electronic Book"&gt;44&lt;/ref-type&gt;&lt;contributors&gt;&lt;authors&gt;&lt;author&gt;Garasky, S.&lt;/author&gt;&lt;author&gt;Mbwana, K.&lt;/author&gt;&lt;author&gt;Romualdo, A.&lt;/author&gt;&lt;author&gt;Tenaglio, A.&lt;/author&gt;&lt;author&gt;Roy, M.&lt;/author&gt;&lt;/authors&gt;&lt;/contributors&gt;&lt;titles&gt;&lt;title&gt;Foods Typically Purchased by Supplemental Nutrition Assistance Program (SNAP) Households&lt;/title&gt;&lt;secondary-title&gt;Prepared by IMPAQ International, LLC for USDA, Food and Nutrition Service &lt;/secondary-title&gt;&lt;/titles&gt;&lt;dates&gt;&lt;year&gt;2016&lt;/year&gt;&lt;/dates&gt;&lt;urls&gt;&lt;related-urls&gt;&lt;url&gt;https://fns-prod.azureedge.net/sites/default/files/ops/SNAPFoodsTypicallyPurchased.pdf&lt;/url&gt;&lt;/related-urls&gt;&lt;/urls&gt;&lt;access-date&gt;Jan 24, 2018&lt;/access-date&gt;&lt;/record&gt;&lt;/Cite&gt;&lt;/EndNote&gt;</w:instrText>
            </w:r>
            <w:r w:rsidRPr="00B33378">
              <w:rPr>
                <w:rFonts w:ascii="Times New Roman" w:eastAsia="Times New Roman" w:hAnsi="Times New Roman" w:cs="Times New Roman"/>
                <w:sz w:val="22"/>
                <w:szCs w:val="22"/>
              </w:rPr>
              <w:fldChar w:fldCharType="separate"/>
            </w:r>
            <w:r w:rsidRPr="00B33378">
              <w:rPr>
                <w:rFonts w:ascii="Times New Roman" w:eastAsia="Times New Roman" w:hAnsi="Times New Roman" w:cs="Times New Roman"/>
                <w:noProof/>
                <w:sz w:val="22"/>
                <w:szCs w:val="22"/>
              </w:rPr>
              <w:t>[</w:t>
            </w:r>
            <w:hyperlink w:anchor="_ENREF_35" w:tooltip="Garasky, 2016 #5408" w:history="1">
              <w:r w:rsidRPr="00B33378">
                <w:rPr>
                  <w:rFonts w:ascii="Times New Roman" w:eastAsia="Times New Roman" w:hAnsi="Times New Roman" w:cs="Times New Roman"/>
                  <w:noProof/>
                  <w:sz w:val="22"/>
                  <w:szCs w:val="22"/>
                </w:rPr>
                <w:t>5</w:t>
              </w:r>
            </w:hyperlink>
            <w:r w:rsidRPr="00B33378">
              <w:rPr>
                <w:rFonts w:ascii="Times New Roman" w:eastAsia="Times New Roman" w:hAnsi="Times New Roman" w:cs="Times New Roman"/>
                <w:noProof/>
                <w:sz w:val="22"/>
                <w:szCs w:val="22"/>
              </w:rPr>
              <w:t>]</w:t>
            </w:r>
            <w:r w:rsidRPr="00B33378">
              <w:rPr>
                <w:rFonts w:ascii="Times New Roman" w:eastAsia="Times New Roman" w:hAnsi="Times New Roman" w:cs="Times New Roman"/>
                <w:sz w:val="22"/>
                <w:szCs w:val="22"/>
              </w:rPr>
              <w:fldChar w:fldCharType="end"/>
            </w:r>
            <w:hyperlink w:anchor="_ENREF_12" w:tooltip="ASSISTANCE,  #5457" w:history="1"/>
          </w:p>
        </w:tc>
      </w:tr>
    </w:tbl>
    <w:p w:rsidR="00810DEF" w:rsidRPr="00B33378" w:rsidRDefault="00810DEF" w:rsidP="00810DEF">
      <w:pPr>
        <w:spacing w:before="120"/>
        <w:rPr>
          <w:rFonts w:ascii="Times New Roman" w:hAnsi="Times New Roman" w:cs="Times New Roman"/>
          <w:sz w:val="22"/>
          <w:szCs w:val="22"/>
        </w:rPr>
      </w:pPr>
      <w:proofErr w:type="spellStart"/>
      <w:r w:rsidRPr="00B33378">
        <w:rPr>
          <w:rFonts w:ascii="Times New Roman" w:hAnsi="Times New Roman" w:cs="Times New Roman"/>
          <w:sz w:val="22"/>
          <w:szCs w:val="22"/>
          <w:vertAlign w:val="superscript"/>
        </w:rPr>
        <w:t>a</w:t>
      </w:r>
      <w:proofErr w:type="spellEnd"/>
      <w:r w:rsidRPr="00B33378">
        <w:rPr>
          <w:rFonts w:ascii="Times New Roman" w:hAnsi="Times New Roman" w:cs="Times New Roman"/>
          <w:sz w:val="22"/>
          <w:szCs w:val="22"/>
          <w:vertAlign w:val="superscript"/>
        </w:rPr>
        <w:t xml:space="preserve"> </w:t>
      </w:r>
      <w:r w:rsidRPr="00B33378">
        <w:rPr>
          <w:rFonts w:ascii="Times New Roman" w:hAnsi="Times New Roman" w:cs="Times New Roman"/>
          <w:sz w:val="22"/>
          <w:szCs w:val="22"/>
        </w:rPr>
        <w:t>Administrative costs were derived from the HIP report estimates for extending the project nationally.</w:t>
      </w:r>
      <w:r w:rsidRPr="00B33378">
        <w:rPr>
          <w:rFonts w:ascii="Times New Roman" w:hAnsi="Times New Roman" w:cs="Times New Roman"/>
          <w:sz w:val="22"/>
          <w:szCs w:val="22"/>
        </w:rPr>
        <w:fldChar w:fldCharType="begin"/>
      </w:r>
      <w:r w:rsidRPr="00B33378">
        <w:rPr>
          <w:rFonts w:ascii="Times New Roman" w:hAnsi="Times New Roman" w:cs="Times New Roman"/>
          <w:sz w:val="22"/>
          <w:szCs w:val="22"/>
        </w:rPr>
        <w:instrText xml:space="preserve"> ADDIN EN.CITE &lt;EndNote&gt;&lt;Cite&gt;&lt;Author&gt;Bartlett&lt;/Author&gt;&lt;Year&gt;2014&lt;/Year&gt;&lt;RecNum&gt;3832&lt;/RecNum&gt;&lt;DisplayText&gt;[25]&lt;/DisplayText&gt;&lt;record&gt;&lt;rec-number&gt;3832&lt;/rec-number&gt;&lt;foreign-keys&gt;&lt;key app="EN" db-id="xt2fa5pf1vvptiexpvnxtwzjsa5fest5z5vx"&gt;3832&lt;/key&gt;&lt;/foreign-keys&gt;&lt;ref-type name="Web Page"&gt;12&lt;/ref-type&gt;&lt;contributors&gt;&lt;authors&gt;&lt;author&gt;Bartlett, S.&lt;/author&gt;&lt;author&gt;Klerman, J.&lt;/author&gt;&lt;author&gt;Olsho, L.&lt;/author&gt;&lt;author&gt;Logan, C.&lt;/author&gt;&lt;author&gt;Blocklin, M.&lt;/author&gt;&lt;author&gt;Beauregard, M.&lt;/author&gt;&lt;author&gt;Enver, A.&lt;/author&gt;&lt;author&gt;Wilde, P.&lt;/author&gt;&lt;author&gt;Owens, C.&lt;/author&gt;&lt;/authors&gt;&lt;/contributors&gt;&lt;titles&gt;&lt;title&gt;Evaluation of the Healthy Incentives Pilot (HIP): Final Report&lt;/title&gt;&lt;/titles&gt;&lt;volume&gt;2015&lt;/volume&gt;&lt;number&gt;September 30&lt;/number&gt;&lt;dates&gt;&lt;year&gt;2014&lt;/year&gt;&lt;/dates&gt;&lt;pub-location&gt;Alexandria, VA&lt;/pub-location&gt;&lt;publisher&gt;USDA Food and Nutrition Service&lt;/publisher&gt;&lt;urls&gt;&lt;related-urls&gt;&lt;url&gt;http://www.fns.usda.gov/sites/default/files/HIP-Final.pdf&lt;/url&gt;&lt;/related-urls&gt;&lt;/urls&gt;&lt;/record&gt;&lt;/Cite&gt;&lt;/EndNote&gt;</w:instrText>
      </w:r>
      <w:r w:rsidRPr="00B33378">
        <w:rPr>
          <w:rFonts w:ascii="Times New Roman" w:hAnsi="Times New Roman" w:cs="Times New Roman"/>
          <w:sz w:val="22"/>
          <w:szCs w:val="22"/>
        </w:rPr>
        <w:fldChar w:fldCharType="separate"/>
      </w:r>
      <w:r w:rsidRPr="00B33378">
        <w:rPr>
          <w:rFonts w:ascii="Times New Roman" w:hAnsi="Times New Roman" w:cs="Times New Roman"/>
          <w:noProof/>
          <w:sz w:val="22"/>
          <w:szCs w:val="22"/>
        </w:rPr>
        <w:t>[</w:t>
      </w:r>
      <w:r w:rsidR="00B42EFD">
        <w:rPr>
          <w:rFonts w:ascii="Times New Roman" w:hAnsi="Times New Roman" w:cs="Times New Roman"/>
          <w:noProof/>
          <w:sz w:val="22"/>
          <w:szCs w:val="22"/>
        </w:rPr>
        <w:t>1</w:t>
      </w:r>
      <w:hyperlink w:anchor="_ENREF_25" w:tooltip="Bartlett, 2014 #3832" w:history="1"/>
      <w:r w:rsidRPr="00B33378">
        <w:rPr>
          <w:rFonts w:ascii="Times New Roman" w:hAnsi="Times New Roman" w:cs="Times New Roman"/>
          <w:noProof/>
          <w:sz w:val="22"/>
          <w:szCs w:val="22"/>
        </w:rPr>
        <w:t>]</w:t>
      </w:r>
      <w:r w:rsidRPr="00B33378">
        <w:rPr>
          <w:rFonts w:ascii="Times New Roman" w:hAnsi="Times New Roman" w:cs="Times New Roman"/>
          <w:sz w:val="22"/>
          <w:szCs w:val="22"/>
        </w:rPr>
        <w:fldChar w:fldCharType="end"/>
      </w:r>
      <w:r w:rsidRPr="00B33378">
        <w:rPr>
          <w:rFonts w:ascii="Times New Roman" w:hAnsi="Times New Roman" w:cs="Times New Roman"/>
          <w:sz w:val="22"/>
          <w:szCs w:val="22"/>
        </w:rPr>
        <w:t xml:space="preserve">  The costs of food incentives and disincentives were calculated for each food category based on data from the USDA Economic Research Service (ERS) Quarterly Food-at-Home Price Database,</w:t>
      </w:r>
      <w:r w:rsidRPr="00B33378">
        <w:rPr>
          <w:rFonts w:ascii="Times New Roman" w:hAnsi="Times New Roman" w:cs="Times New Roman"/>
          <w:sz w:val="22"/>
          <w:szCs w:val="22"/>
        </w:rPr>
        <w:fldChar w:fldCharType="begin"/>
      </w:r>
      <w:r w:rsidRPr="00B33378">
        <w:rPr>
          <w:rFonts w:ascii="Times New Roman" w:hAnsi="Times New Roman" w:cs="Times New Roman"/>
          <w:sz w:val="22"/>
          <w:szCs w:val="22"/>
        </w:rPr>
        <w:instrText xml:space="preserve"> ADDIN EN.CITE &lt;EndNote&gt;&lt;Cite&gt;&lt;Author&gt;U.S. Department of Agriculture&lt;/Author&gt;&lt;RecNum&gt;5455&lt;/RecNum&gt;&lt;DisplayText&gt;[32]&lt;/DisplayText&gt;&lt;record&gt;&lt;rec-number&gt;5455&lt;/rec-number&gt;&lt;foreign-keys&gt;&lt;key app="EN" db-id="xt2fa5pf1vvptiexpvnxtwzjsa5fest5z5vx"&gt;5455&lt;/key&gt;&lt;/foreign-keys&gt;&lt;ref-type name="Web Page"&gt;12&lt;/ref-type&gt;&lt;contributors&gt;&lt;authors&gt;&lt;author&gt;U.S. Department of Agriculture,&lt;/author&gt;&lt;author&gt;Economic Research Service, &lt;/author&gt;&lt;/authors&gt;&lt;/contributors&gt;&lt;titles&gt;&lt;title&gt;Quarterly Food-at-Home Price Database&lt;/title&gt;&lt;/titles&gt;&lt;dates&gt;&lt;/dates&gt;&lt;urls&gt;&lt;related-urls&gt;&lt;url&gt;https://www.ers.usda.gov/data-products/quarterly-food-at-home-price-database/&lt;/url&gt;&lt;/related-urls&gt;&lt;/urls&gt;&lt;/record&gt;&lt;/Cite&gt;&lt;/EndNote&gt;</w:instrText>
      </w:r>
      <w:r w:rsidRPr="00B33378">
        <w:rPr>
          <w:rFonts w:ascii="Times New Roman" w:hAnsi="Times New Roman" w:cs="Times New Roman"/>
          <w:sz w:val="22"/>
          <w:szCs w:val="22"/>
        </w:rPr>
        <w:fldChar w:fldCharType="separate"/>
      </w:r>
      <w:r w:rsidRPr="00B33378">
        <w:rPr>
          <w:rFonts w:ascii="Times New Roman" w:hAnsi="Times New Roman" w:cs="Times New Roman"/>
          <w:noProof/>
          <w:sz w:val="22"/>
          <w:szCs w:val="22"/>
        </w:rPr>
        <w:t>[</w:t>
      </w:r>
      <w:hyperlink w:anchor="_ENREF_32" w:tooltip="U.S. Department of Agriculture,  #5455" w:history="1">
        <w:r w:rsidRPr="00B33378">
          <w:rPr>
            <w:rFonts w:ascii="Times New Roman" w:hAnsi="Times New Roman" w:cs="Times New Roman"/>
            <w:noProof/>
            <w:sz w:val="22"/>
            <w:szCs w:val="22"/>
          </w:rPr>
          <w:t>2</w:t>
        </w:r>
      </w:hyperlink>
      <w:r w:rsidRPr="00B33378">
        <w:rPr>
          <w:rFonts w:ascii="Times New Roman" w:hAnsi="Times New Roman" w:cs="Times New Roman"/>
          <w:noProof/>
          <w:sz w:val="22"/>
          <w:szCs w:val="22"/>
        </w:rPr>
        <w:t>]</w:t>
      </w:r>
      <w:r w:rsidRPr="00B33378">
        <w:rPr>
          <w:rFonts w:ascii="Times New Roman" w:hAnsi="Times New Roman" w:cs="Times New Roman"/>
          <w:sz w:val="22"/>
          <w:szCs w:val="22"/>
        </w:rPr>
        <w:fldChar w:fldCharType="end"/>
      </w:r>
      <w:r w:rsidRPr="00B33378">
        <w:rPr>
          <w:rFonts w:ascii="Times New Roman" w:hAnsi="Times New Roman" w:cs="Times New Roman"/>
          <w:sz w:val="22"/>
          <w:szCs w:val="22"/>
        </w:rPr>
        <w:t xml:space="preserve"> the estimated average national price of SSBs,</w:t>
      </w:r>
      <w:r w:rsidRPr="00B33378">
        <w:rPr>
          <w:rFonts w:ascii="Times New Roman" w:hAnsi="Times New Roman" w:cs="Times New Roman"/>
          <w:sz w:val="22"/>
          <w:szCs w:val="22"/>
        </w:rPr>
        <w:fldChar w:fldCharType="begin"/>
      </w:r>
      <w:r w:rsidRPr="00B33378">
        <w:rPr>
          <w:rFonts w:ascii="Times New Roman" w:hAnsi="Times New Roman" w:cs="Times New Roman"/>
          <w:sz w:val="22"/>
          <w:szCs w:val="22"/>
        </w:rPr>
        <w:instrText xml:space="preserve"> ADDIN EN.CITE &lt;EndNote&gt;&lt;Cite&gt;&lt;Author&gt;Powell&lt;/Author&gt;&lt;Year&gt;2014&lt;/Year&gt;&lt;RecNum&gt;5456&lt;/RecNum&gt;&lt;DisplayText&gt;[33]&lt;/DisplayText&gt;&lt;record&gt;&lt;rec-number&gt;5456&lt;/rec-number&gt;&lt;foreign-keys&gt;&lt;key app="EN" db-id="xt2fa5pf1vvptiexpvnxtwzjsa5fest5z5vx"&gt;5456&lt;/key&gt;&lt;/foreign-keys&gt;&lt;ref-type name="Journal Article"&gt;17&lt;/ref-type&gt;&lt;contributors&gt;&lt;authors&gt;&lt;author&gt;Powell, LM&lt;/author&gt;&lt;author&gt;Isgor, Z&lt;/author&gt;&lt;author&gt;Rimkus, L&lt;/author&gt;&lt;author&gt;Chaloupka, FJ&lt;/author&gt;&lt;/authors&gt;&lt;/contributors&gt;&lt;titles&gt;&lt;title&gt;Sugar-sweetened beverage prices: estimates from a national sample of food outlets&lt;/title&gt;&lt;secondary-title&gt;Bridging the Gap Program, Health Policy Center, Institute for Health Research and Policy, University of Illinois at Chicago, Chicago, IL&lt;/secondary-title&gt;&lt;/titles&gt;&lt;periodical&gt;&lt;full-title&gt;Bridging the Gap Program, Health Policy Center, Institute for Health Research and Policy, University of Illinois at Chicago, Chicago, IL&lt;/full-title&gt;&lt;/periodical&gt;&lt;dates&gt;&lt;year&gt;2014&lt;/year&gt;&lt;/dates&gt;&lt;urls&gt;&lt;/urls&gt;&lt;/record&gt;&lt;/Cite&gt;&lt;/EndNote&gt;</w:instrText>
      </w:r>
      <w:r w:rsidRPr="00B33378">
        <w:rPr>
          <w:rFonts w:ascii="Times New Roman" w:hAnsi="Times New Roman" w:cs="Times New Roman"/>
          <w:sz w:val="22"/>
          <w:szCs w:val="22"/>
        </w:rPr>
        <w:fldChar w:fldCharType="separate"/>
      </w:r>
      <w:r w:rsidRPr="00B33378">
        <w:rPr>
          <w:rFonts w:ascii="Times New Roman" w:hAnsi="Times New Roman" w:cs="Times New Roman"/>
          <w:noProof/>
          <w:sz w:val="22"/>
          <w:szCs w:val="22"/>
        </w:rPr>
        <w:t>[</w:t>
      </w:r>
      <w:hyperlink w:anchor="_ENREF_33" w:tooltip="Powell, 2014 #5456" w:history="1">
        <w:r w:rsidRPr="00B33378">
          <w:rPr>
            <w:rFonts w:ascii="Times New Roman" w:hAnsi="Times New Roman" w:cs="Times New Roman"/>
            <w:noProof/>
            <w:sz w:val="22"/>
            <w:szCs w:val="22"/>
          </w:rPr>
          <w:t>3</w:t>
        </w:r>
      </w:hyperlink>
      <w:r w:rsidRPr="00B33378">
        <w:rPr>
          <w:rFonts w:ascii="Times New Roman" w:hAnsi="Times New Roman" w:cs="Times New Roman"/>
          <w:noProof/>
          <w:sz w:val="22"/>
          <w:szCs w:val="22"/>
        </w:rPr>
        <w:t>]</w:t>
      </w:r>
      <w:r w:rsidRPr="00B33378">
        <w:rPr>
          <w:rFonts w:ascii="Times New Roman" w:hAnsi="Times New Roman" w:cs="Times New Roman"/>
          <w:sz w:val="22"/>
          <w:szCs w:val="22"/>
        </w:rPr>
        <w:fldChar w:fldCharType="end"/>
      </w:r>
      <w:r w:rsidRPr="00B33378">
        <w:rPr>
          <w:rFonts w:ascii="Times New Roman" w:hAnsi="Times New Roman" w:cs="Times New Roman"/>
          <w:sz w:val="22"/>
          <w:szCs w:val="22"/>
        </w:rPr>
        <w:t xml:space="preserve"> the Consumer Expenditure Survey,</w:t>
      </w:r>
      <w:r w:rsidRPr="00B33378">
        <w:rPr>
          <w:rFonts w:ascii="Times New Roman" w:eastAsia="Times New Roman" w:hAnsi="Times New Roman" w:cs="Times New Roman"/>
          <w:sz w:val="22"/>
          <w:szCs w:val="22"/>
        </w:rPr>
        <w:fldChar w:fldCharType="begin"/>
      </w:r>
      <w:r w:rsidRPr="00B33378">
        <w:rPr>
          <w:rFonts w:ascii="Times New Roman" w:eastAsia="Times New Roman" w:hAnsi="Times New Roman" w:cs="Times New Roman"/>
          <w:sz w:val="22"/>
          <w:szCs w:val="22"/>
        </w:rPr>
        <w:instrText xml:space="preserve"> ADDIN EN.CITE &lt;EndNote&gt;&lt;Cite&gt;&lt;Author&gt;Bureau of Labor Statistics&lt;/Author&gt;&lt;Year&gt;2016&lt;/Year&gt;&lt;RecNum&gt;5542&lt;/RecNum&gt;&lt;DisplayText&gt;[34]&lt;/DisplayText&gt;&lt;record&gt;&lt;rec-number&gt;5542&lt;/rec-number&gt;&lt;foreign-keys&gt;&lt;key app="EN" db-id="xt2fa5pf1vvptiexpvnxtwzjsa5fest5z5vx"&gt;5542&lt;/key&gt;&lt;/foreign-keys&gt;&lt;ref-type name="Electronic Article"&gt;43&lt;/ref-type&gt;&lt;contributors&gt;&lt;authors&gt;&lt;author&gt;Bureau of Labor Statistics,&lt;/author&gt;&lt;author&gt;U.S. Department of Labor,&lt;/author&gt;&lt;/authors&gt;&lt;/contributors&gt;&lt;titles&gt;&lt;title&gt;Consumer Expenditure Survey&lt;/title&gt;&lt;/titles&gt;&lt;dates&gt;&lt;year&gt;2016&lt;/year&gt;&lt;pub-dates&gt;&lt;date&gt;Jan 24, 2018&lt;/date&gt;&lt;/pub-dates&gt;&lt;/dates&gt;&lt;urls&gt;&lt;related-urls&gt;&lt;url&gt;https://www.bls.gov/cex/&lt;/url&gt;&lt;/related-urls&gt;&lt;/urls&gt;&lt;/record&gt;&lt;/Cite&gt;&lt;/EndNote&gt;</w:instrText>
      </w:r>
      <w:r w:rsidRPr="00B33378">
        <w:rPr>
          <w:rFonts w:ascii="Times New Roman" w:eastAsia="Times New Roman" w:hAnsi="Times New Roman" w:cs="Times New Roman"/>
          <w:sz w:val="22"/>
          <w:szCs w:val="22"/>
        </w:rPr>
        <w:fldChar w:fldCharType="separate"/>
      </w:r>
      <w:r w:rsidRPr="00B33378">
        <w:rPr>
          <w:rFonts w:ascii="Times New Roman" w:eastAsia="Times New Roman" w:hAnsi="Times New Roman" w:cs="Times New Roman"/>
          <w:noProof/>
          <w:sz w:val="22"/>
          <w:szCs w:val="22"/>
        </w:rPr>
        <w:t>[</w:t>
      </w:r>
      <w:hyperlink w:anchor="_ENREF_34" w:tooltip="Bureau of Labor Statistics, 2016 #5542" w:history="1">
        <w:r w:rsidRPr="00B33378">
          <w:rPr>
            <w:rFonts w:ascii="Times New Roman" w:eastAsia="Times New Roman" w:hAnsi="Times New Roman" w:cs="Times New Roman"/>
            <w:noProof/>
            <w:sz w:val="22"/>
            <w:szCs w:val="22"/>
          </w:rPr>
          <w:t>4</w:t>
        </w:r>
      </w:hyperlink>
      <w:r w:rsidRPr="00B33378">
        <w:rPr>
          <w:rFonts w:ascii="Times New Roman" w:eastAsia="Times New Roman" w:hAnsi="Times New Roman" w:cs="Times New Roman"/>
          <w:noProof/>
          <w:sz w:val="22"/>
          <w:szCs w:val="22"/>
        </w:rPr>
        <w:t>]</w:t>
      </w:r>
      <w:r w:rsidRPr="00B33378">
        <w:rPr>
          <w:rFonts w:ascii="Times New Roman" w:eastAsia="Times New Roman" w:hAnsi="Times New Roman" w:cs="Times New Roman"/>
          <w:sz w:val="22"/>
          <w:szCs w:val="22"/>
        </w:rPr>
        <w:fldChar w:fldCharType="end"/>
      </w:r>
      <w:r w:rsidRPr="00B33378">
        <w:rPr>
          <w:rFonts w:ascii="Times New Roman" w:hAnsi="Times New Roman" w:cs="Times New Roman"/>
          <w:sz w:val="22"/>
          <w:szCs w:val="22"/>
        </w:rPr>
        <w:t xml:space="preserve"> and the USDA SNAP report.</w:t>
      </w:r>
      <w:r w:rsidRPr="00B33378">
        <w:rPr>
          <w:rFonts w:ascii="Times New Roman" w:eastAsia="Times New Roman" w:hAnsi="Times New Roman" w:cs="Times New Roman"/>
          <w:sz w:val="22"/>
          <w:szCs w:val="22"/>
        </w:rPr>
        <w:fldChar w:fldCharType="begin"/>
      </w:r>
      <w:r w:rsidRPr="00B33378">
        <w:rPr>
          <w:rFonts w:ascii="Times New Roman" w:eastAsia="Times New Roman" w:hAnsi="Times New Roman" w:cs="Times New Roman"/>
          <w:sz w:val="22"/>
          <w:szCs w:val="22"/>
        </w:rPr>
        <w:instrText xml:space="preserve"> ADDIN EN.CITE &lt;EndNote&gt;&lt;Cite&gt;&lt;Author&gt;Garasky&lt;/Author&gt;&lt;Year&gt;2016&lt;/Year&gt;&lt;RecNum&gt;5408&lt;/RecNum&gt;&lt;DisplayText&gt;[35]&lt;/DisplayText&gt;&lt;record&gt;&lt;rec-number&gt;5408&lt;/rec-number&gt;&lt;foreign-keys&gt;&lt;key app="EN" db-id="xt2fa5pf1vvptiexpvnxtwzjsa5fest5z5vx"&gt;5408&lt;/key&gt;&lt;/foreign-keys&gt;&lt;ref-type name="Electronic Book"&gt;44&lt;/ref-type&gt;&lt;contributors&gt;&lt;authors&gt;&lt;author&gt;Garasky, S.&lt;/author&gt;&lt;author&gt;Mbwana, K.&lt;/author&gt;&lt;author&gt;Romualdo, A.&lt;/author&gt;&lt;author&gt;Tenaglio, A.&lt;/author&gt;&lt;author&gt;Roy, M.&lt;/author&gt;&lt;/authors&gt;&lt;/contributors&gt;&lt;titles&gt;&lt;title&gt;Foods Typically Purchased by Supplemental Nutrition Assistance Program (SNAP) Households&lt;/title&gt;&lt;secondary-title&gt;Prepared by IMPAQ International, LLC for USDA, Food and Nutrition Service &lt;/secondary-title&gt;&lt;/titles&gt;&lt;dates&gt;&lt;year&gt;2016&lt;/year&gt;&lt;/dates&gt;&lt;urls&gt;&lt;related-urls&gt;&lt;url&gt;https://fns-prod.azureedge.net/sites/default/files/ops/SNAPFoodsTypicallyPurchased.pdf&lt;/url&gt;&lt;/related-urls&gt;&lt;/urls&gt;&lt;access-date&gt;Jan 24, 2018&lt;/access-date&gt;&lt;/record&gt;&lt;/Cite&gt;&lt;/EndNote&gt;</w:instrText>
      </w:r>
      <w:r w:rsidRPr="00B33378">
        <w:rPr>
          <w:rFonts w:ascii="Times New Roman" w:eastAsia="Times New Roman" w:hAnsi="Times New Roman" w:cs="Times New Roman"/>
          <w:sz w:val="22"/>
          <w:szCs w:val="22"/>
        </w:rPr>
        <w:fldChar w:fldCharType="separate"/>
      </w:r>
      <w:r w:rsidRPr="00B33378">
        <w:rPr>
          <w:rFonts w:ascii="Times New Roman" w:eastAsia="Times New Roman" w:hAnsi="Times New Roman" w:cs="Times New Roman"/>
          <w:noProof/>
          <w:sz w:val="22"/>
          <w:szCs w:val="22"/>
        </w:rPr>
        <w:t>[</w:t>
      </w:r>
      <w:hyperlink w:anchor="_ENREF_35" w:tooltip="Garasky, 2016 #5408" w:history="1">
        <w:r w:rsidRPr="00B33378">
          <w:rPr>
            <w:rFonts w:ascii="Times New Roman" w:eastAsia="Times New Roman" w:hAnsi="Times New Roman" w:cs="Times New Roman"/>
            <w:noProof/>
            <w:sz w:val="22"/>
            <w:szCs w:val="22"/>
          </w:rPr>
          <w:t>5</w:t>
        </w:r>
      </w:hyperlink>
      <w:r w:rsidRPr="00B33378">
        <w:rPr>
          <w:rFonts w:ascii="Times New Roman" w:eastAsia="Times New Roman" w:hAnsi="Times New Roman" w:cs="Times New Roman"/>
          <w:noProof/>
          <w:sz w:val="22"/>
          <w:szCs w:val="22"/>
        </w:rPr>
        <w:t>]</w:t>
      </w:r>
      <w:r w:rsidRPr="00B33378">
        <w:rPr>
          <w:rFonts w:ascii="Times New Roman" w:eastAsia="Times New Roman" w:hAnsi="Times New Roman" w:cs="Times New Roman"/>
          <w:sz w:val="22"/>
          <w:szCs w:val="22"/>
        </w:rPr>
        <w:fldChar w:fldCharType="end"/>
      </w:r>
      <w:r w:rsidRPr="00B33378">
        <w:rPr>
          <w:rFonts w:ascii="Times New Roman" w:hAnsi="Times New Roman" w:cs="Times New Roman"/>
          <w:sz w:val="22"/>
          <w:szCs w:val="22"/>
        </w:rPr>
        <w:t xml:space="preserve">  All costs were inflated to constant 2017 dollars using the Bureau of Labor Statistics’ Consumer Price Index.</w:t>
      </w:r>
      <w:r w:rsidRPr="00B33378">
        <w:rPr>
          <w:rFonts w:ascii="Times New Roman" w:hAnsi="Times New Roman" w:cs="Times New Roman"/>
          <w:sz w:val="22"/>
          <w:szCs w:val="22"/>
        </w:rPr>
        <w:fldChar w:fldCharType="begin"/>
      </w:r>
      <w:r w:rsidRPr="00B33378">
        <w:rPr>
          <w:rFonts w:ascii="Times New Roman" w:hAnsi="Times New Roman" w:cs="Times New Roman"/>
          <w:sz w:val="22"/>
          <w:szCs w:val="22"/>
        </w:rPr>
        <w:instrText xml:space="preserve"> ADDIN EN.CITE &lt;EndNote&gt;&lt;Cite&gt;&lt;Author&gt;U.S. Department of Labor&lt;/Author&gt;&lt;Year&gt;2017&lt;/Year&gt;&lt;RecNum&gt;5540&lt;/RecNum&gt;&lt;DisplayText&gt;[36]&lt;/DisplayText&gt;&lt;record&gt;&lt;rec-number&gt;5540&lt;/rec-number&gt;&lt;foreign-keys&gt;&lt;key app="EN" db-id="xt2fa5pf1vvptiexpvnxtwzjsa5fest5z5vx"&gt;5540&lt;/key&gt;&lt;/foreign-keys&gt;&lt;ref-type name="Web Page"&gt;12&lt;/ref-type&gt;&lt;contributors&gt;&lt;authors&gt;&lt;author&gt;U.S. Department of Labor,&lt;/author&gt;&lt;/authors&gt;&lt;/contributors&gt;&lt;titles&gt;&lt;title&gt;The Bureau of Labor Statistics&amp;apos; Consumer Price Index&lt;/title&gt;&lt;/titles&gt;&lt;volume&gt;2017&lt;/volume&gt;&lt;number&gt;October 16&lt;/number&gt;&lt;dates&gt;&lt;year&gt;2017&lt;/year&gt;&lt;/dates&gt;&lt;urls&gt;&lt;related-urls&gt;&lt;url&gt;https://www.bls.gov/data/#prices&lt;/url&gt;&lt;/related-urls&gt;&lt;/urls&gt;&lt;/record&gt;&lt;/Cite&gt;&lt;/EndNote&gt;</w:instrText>
      </w:r>
      <w:r w:rsidRPr="00B33378">
        <w:rPr>
          <w:rFonts w:ascii="Times New Roman" w:hAnsi="Times New Roman" w:cs="Times New Roman"/>
          <w:sz w:val="22"/>
          <w:szCs w:val="22"/>
        </w:rPr>
        <w:fldChar w:fldCharType="separate"/>
      </w:r>
      <w:r w:rsidRPr="00B33378">
        <w:rPr>
          <w:rFonts w:ascii="Times New Roman" w:hAnsi="Times New Roman" w:cs="Times New Roman"/>
          <w:noProof/>
          <w:sz w:val="22"/>
          <w:szCs w:val="22"/>
        </w:rPr>
        <w:t>[</w:t>
      </w:r>
      <w:hyperlink w:anchor="_ENREF_36" w:tooltip="U.S. Department of Labor, 2017 #5540" w:history="1">
        <w:r w:rsidRPr="00B33378">
          <w:rPr>
            <w:rFonts w:ascii="Times New Roman" w:hAnsi="Times New Roman" w:cs="Times New Roman"/>
            <w:noProof/>
            <w:sz w:val="22"/>
            <w:szCs w:val="22"/>
          </w:rPr>
          <w:t>6</w:t>
        </w:r>
      </w:hyperlink>
      <w:r w:rsidRPr="00B33378">
        <w:rPr>
          <w:rFonts w:ascii="Times New Roman" w:hAnsi="Times New Roman" w:cs="Times New Roman"/>
          <w:noProof/>
          <w:sz w:val="22"/>
          <w:szCs w:val="22"/>
        </w:rPr>
        <w:t>]</w:t>
      </w:r>
      <w:r w:rsidRPr="00B33378">
        <w:rPr>
          <w:rFonts w:ascii="Times New Roman" w:hAnsi="Times New Roman" w:cs="Times New Roman"/>
          <w:sz w:val="22"/>
          <w:szCs w:val="22"/>
        </w:rPr>
        <w:fldChar w:fldCharType="end"/>
      </w:r>
    </w:p>
    <w:p w:rsidR="00810DEF" w:rsidRPr="00B33378" w:rsidRDefault="00810DEF" w:rsidP="00810DEF">
      <w:pPr>
        <w:spacing w:before="120"/>
        <w:rPr>
          <w:rFonts w:ascii="Times New Roman" w:hAnsi="Times New Roman" w:cs="Times New Roman"/>
          <w:sz w:val="22"/>
          <w:szCs w:val="22"/>
        </w:rPr>
      </w:pPr>
      <w:r w:rsidRPr="00B33378">
        <w:rPr>
          <w:rFonts w:ascii="Times New Roman" w:hAnsi="Times New Roman" w:cs="Times New Roman"/>
          <w:sz w:val="22"/>
          <w:szCs w:val="22"/>
          <w:vertAlign w:val="superscript"/>
        </w:rPr>
        <w:t xml:space="preserve">b </w:t>
      </w:r>
      <w:r w:rsidRPr="00B33378">
        <w:rPr>
          <w:rFonts w:ascii="Times New Roman" w:hAnsi="Times New Roman" w:cs="Times New Roman"/>
          <w:sz w:val="22"/>
          <w:szCs w:val="22"/>
        </w:rPr>
        <w:t xml:space="preserve">Detailed cost estimates in 2012 dollars were extracted from the HIP report Exhibit 9.3 (cost of HIP implementation) and Exhibit 9.7 (estimated cost of a nationwide expansion of HIP) and summed into two categories: initial program implementation and participant education, and implementation of updated EBT processing and retail infrastructure. We assumed these costs would occur only in year 1, as the HIP report concluded that a national HIP program would not increase the staffing and operation cost of the SNAP EBT systems for states, EBT processors, and retailers on an ongoing basis. </w:t>
      </w:r>
    </w:p>
    <w:p w:rsidR="00810DEF" w:rsidRPr="00B33378" w:rsidRDefault="00810DEF" w:rsidP="00810DEF">
      <w:pPr>
        <w:spacing w:before="120"/>
        <w:rPr>
          <w:rFonts w:ascii="Times New Roman" w:hAnsi="Times New Roman" w:cs="Times New Roman"/>
          <w:sz w:val="22"/>
          <w:szCs w:val="22"/>
        </w:rPr>
      </w:pPr>
      <w:r w:rsidRPr="00B33378">
        <w:rPr>
          <w:rFonts w:ascii="Times New Roman" w:hAnsi="Times New Roman" w:cs="Times New Roman"/>
          <w:sz w:val="22"/>
          <w:szCs w:val="22"/>
          <w:vertAlign w:val="superscript"/>
        </w:rPr>
        <w:t>c</w:t>
      </w:r>
      <w:r w:rsidRPr="00B33378">
        <w:rPr>
          <w:rFonts w:ascii="Times New Roman" w:hAnsi="Times New Roman" w:cs="Times New Roman"/>
          <w:sz w:val="22"/>
          <w:szCs w:val="22"/>
        </w:rPr>
        <w:t xml:space="preserve"> </w:t>
      </w:r>
      <w:proofErr w:type="gramStart"/>
      <w:r w:rsidRPr="00B33378">
        <w:rPr>
          <w:rFonts w:ascii="Times New Roman" w:eastAsia="Times New Roman" w:hAnsi="Times New Roman" w:cs="Times New Roman"/>
          <w:sz w:val="22"/>
          <w:szCs w:val="22"/>
          <w:lang w:eastAsia="zh-CN"/>
        </w:rPr>
        <w:t>In</w:t>
      </w:r>
      <w:proofErr w:type="gramEnd"/>
      <w:r w:rsidRPr="00B33378">
        <w:rPr>
          <w:rFonts w:ascii="Times New Roman" w:eastAsia="Times New Roman" w:hAnsi="Times New Roman" w:cs="Times New Roman"/>
          <w:sz w:val="22"/>
          <w:szCs w:val="22"/>
          <w:lang w:eastAsia="zh-CN"/>
        </w:rPr>
        <w:t xml:space="preserve"> addition to initial implementation costs, ongoing costs were included to oversee, monitor and evaluate the programs. To estimates these costs, we referenced the cost to design and evaluate HIP. </w:t>
      </w:r>
      <w:proofErr w:type="spellStart"/>
      <w:r w:rsidRPr="00B33378">
        <w:rPr>
          <w:rFonts w:ascii="Times New Roman" w:eastAsia="Times New Roman" w:hAnsi="Times New Roman" w:cs="Times New Roman"/>
          <w:sz w:val="22"/>
          <w:szCs w:val="22"/>
          <w:lang w:eastAsia="zh-CN"/>
        </w:rPr>
        <w:t>Abt</w:t>
      </w:r>
      <w:proofErr w:type="spellEnd"/>
      <w:r w:rsidRPr="00B33378">
        <w:rPr>
          <w:rFonts w:ascii="Times New Roman" w:eastAsia="Times New Roman" w:hAnsi="Times New Roman" w:cs="Times New Roman"/>
          <w:sz w:val="22"/>
          <w:szCs w:val="22"/>
          <w:lang w:eastAsia="zh-CN"/>
        </w:rPr>
        <w:t xml:space="preserve"> Associates, the firm contracted by USDA’s Food and Nutrition Service to implement HIP, received $10,573,000 over 4 years to design and evaluate the pilot (Parke Wilde, personal communication, Jan 10, 2018), for an annual cost of $</w:t>
      </w:r>
      <w:r w:rsidRPr="00B33378">
        <w:rPr>
          <w:rFonts w:ascii="Times New Roman" w:eastAsia="Times New Roman" w:hAnsi="Times New Roman" w:cs="Times New Roman"/>
          <w:sz w:val="22"/>
          <w:szCs w:val="22"/>
          <w:shd w:val="clear" w:color="auto" w:fill="FFFFFF"/>
        </w:rPr>
        <w:t xml:space="preserve">2,643,250. </w:t>
      </w:r>
      <w:proofErr w:type="gramStart"/>
      <w:r w:rsidRPr="00B33378">
        <w:rPr>
          <w:rFonts w:ascii="Times New Roman" w:eastAsia="Times New Roman" w:hAnsi="Times New Roman" w:cs="Times New Roman"/>
          <w:sz w:val="22"/>
          <w:szCs w:val="22"/>
          <w:shd w:val="clear" w:color="auto" w:fill="FFFFFF"/>
        </w:rPr>
        <w:t>Assuming that</w:t>
      </w:r>
      <w:proofErr w:type="gramEnd"/>
      <w:r w:rsidRPr="00B33378">
        <w:rPr>
          <w:rFonts w:ascii="Times New Roman" w:eastAsia="Times New Roman" w:hAnsi="Times New Roman" w:cs="Times New Roman"/>
          <w:sz w:val="22"/>
          <w:szCs w:val="22"/>
          <w:shd w:val="clear" w:color="auto" w:fill="FFFFFF"/>
        </w:rPr>
        <w:t xml:space="preserve"> evaluation will only be one aspect of ongoing program management, we doubled this amount to reflect the full estimated program management cost for the F&amp;V incentive program.  To account for the administrative complexity in the F&amp;V incentive/SSB restriction and SNAP-plus, we quadrupled this amount to reflect the full estimated program management cost for these two scenarios.</w:t>
      </w:r>
      <w:r w:rsidRPr="00B33378">
        <w:rPr>
          <w:rFonts w:ascii="Times New Roman" w:hAnsi="Times New Roman" w:cs="Times New Roman"/>
          <w:sz w:val="22"/>
          <w:szCs w:val="22"/>
        </w:rPr>
        <w:t xml:space="preserve">  Some of these efforts could also be separately covered or expanded by SNAP-Ed, a $400 </w:t>
      </w:r>
      <w:r w:rsidRPr="00B33378">
        <w:rPr>
          <w:rFonts w:ascii="Times New Roman" w:hAnsi="Times New Roman" w:cs="Times New Roman"/>
          <w:sz w:val="22"/>
          <w:szCs w:val="22"/>
        </w:rPr>
        <w:lastRenderedPageBreak/>
        <w:t>million/year program that allows states to teach people using or eligible for SNAP about good nutrition and how to make their food dollars stretch further.  This could further increase the efficacy and cost-effectiveness of each intervention.</w:t>
      </w:r>
    </w:p>
    <w:p w:rsidR="00810DEF" w:rsidRPr="00B33378" w:rsidRDefault="00810DEF" w:rsidP="00810DEF">
      <w:pPr>
        <w:spacing w:before="120"/>
        <w:rPr>
          <w:rFonts w:ascii="Times New Roman" w:hAnsi="Times New Roman" w:cs="Times New Roman"/>
          <w:sz w:val="22"/>
          <w:szCs w:val="22"/>
        </w:rPr>
      </w:pPr>
      <w:r w:rsidRPr="00B33378">
        <w:rPr>
          <w:rFonts w:ascii="Times New Roman" w:hAnsi="Times New Roman" w:cs="Times New Roman"/>
          <w:sz w:val="22"/>
          <w:szCs w:val="22"/>
          <w:vertAlign w:val="superscript"/>
        </w:rPr>
        <w:t xml:space="preserve">d </w:t>
      </w:r>
      <w:r w:rsidRPr="00B33378">
        <w:rPr>
          <w:rFonts w:ascii="Times New Roman" w:eastAsia="Times New Roman" w:hAnsi="Times New Roman" w:cs="Times New Roman"/>
          <w:color w:val="000000"/>
          <w:sz w:val="22"/>
          <w:szCs w:val="22"/>
          <w:lang w:eastAsia="zh-CN"/>
        </w:rPr>
        <w:t xml:space="preserve">Average retail costs of foods in each category were estimated using the ERS Quarterly Food-At-Home Price Database version 1 (prices of random-weight foods were not included in version 2). We used 2006 data, stratified by region, and calculated the weighted national average price (unit cost) of each dietary component, </w:t>
      </w:r>
      <w:r w:rsidRPr="00B33378">
        <w:rPr>
          <w:rFonts w:ascii="Times New Roman" w:hAnsi="Times New Roman" w:cs="Times New Roman"/>
          <w:sz w:val="22"/>
          <w:szCs w:val="22"/>
        </w:rPr>
        <w:t>inflated to constant 2017 dollars.  For SSBs, we referenced the average price from Powell et al., who used nationally-representative data from the Bridging the Gap Community Obesity Measures Project, weighted proportionally to package size and source of consumption in NHANES 2009-2010.</w:t>
      </w:r>
      <w:r w:rsidRPr="00B33378">
        <w:rPr>
          <w:rFonts w:ascii="Times New Roman" w:eastAsia="Times New Roman" w:hAnsi="Times New Roman" w:cs="Times New Roman"/>
          <w:color w:val="000000"/>
          <w:sz w:val="22"/>
          <w:szCs w:val="22"/>
        </w:rPr>
        <w:fldChar w:fldCharType="begin"/>
      </w:r>
      <w:r w:rsidRPr="00B33378">
        <w:rPr>
          <w:rFonts w:ascii="Times New Roman" w:eastAsia="Times New Roman" w:hAnsi="Times New Roman" w:cs="Times New Roman"/>
          <w:color w:val="000000"/>
          <w:sz w:val="22"/>
          <w:szCs w:val="22"/>
        </w:rPr>
        <w:instrText xml:space="preserve"> ADDIN EN.CITE &lt;EndNote&gt;&lt;Cite&gt;&lt;Author&gt;Powell&lt;/Author&gt;&lt;Year&gt;2014&lt;/Year&gt;&lt;RecNum&gt;5456&lt;/RecNum&gt;&lt;DisplayText&gt;[33]&lt;/DisplayText&gt;&lt;record&gt;&lt;rec-number&gt;5456&lt;/rec-number&gt;&lt;foreign-keys&gt;&lt;key app="EN" db-id="xt2fa5pf1vvptiexpvnxtwzjsa5fest5z5vx"&gt;5456&lt;/key&gt;&lt;/foreign-keys&gt;&lt;ref-type name="Journal Article"&gt;17&lt;/ref-type&gt;&lt;contributors&gt;&lt;authors&gt;&lt;author&gt;Powell, LM&lt;/author&gt;&lt;author&gt;Isgor, Z&lt;/author&gt;&lt;author&gt;Rimkus, L&lt;/author&gt;&lt;author&gt;Chaloupka, FJ&lt;/author&gt;&lt;/authors&gt;&lt;/contributors&gt;&lt;titles&gt;&lt;title&gt;Sugar-sweetened beverage prices: estimates from a national sample of food outlets&lt;/title&gt;&lt;secondary-title&gt;Bridging the Gap Program, Health Policy Center, Institute for Health Research and Policy, University of Illinois at Chicago, Chicago, IL&lt;/secondary-title&gt;&lt;/titles&gt;&lt;periodical&gt;&lt;full-title&gt;Bridging the Gap Program, Health Policy Center, Institute for Health Research and Policy, University of Illinois at Chicago, Chicago, IL&lt;/full-title&gt;&lt;/periodical&gt;&lt;dates&gt;&lt;year&gt;2014&lt;/year&gt;&lt;/dates&gt;&lt;urls&gt;&lt;/urls&gt;&lt;/record&gt;&lt;/Cite&gt;&lt;/EndNote&gt;</w:instrText>
      </w:r>
      <w:r w:rsidRPr="00B33378">
        <w:rPr>
          <w:rFonts w:ascii="Times New Roman" w:eastAsia="Times New Roman" w:hAnsi="Times New Roman" w:cs="Times New Roman"/>
          <w:color w:val="000000"/>
          <w:sz w:val="22"/>
          <w:szCs w:val="22"/>
        </w:rPr>
        <w:fldChar w:fldCharType="separate"/>
      </w:r>
      <w:r w:rsidRPr="00B33378">
        <w:rPr>
          <w:rFonts w:ascii="Times New Roman" w:eastAsia="Times New Roman" w:hAnsi="Times New Roman" w:cs="Times New Roman"/>
          <w:noProof/>
          <w:color w:val="000000"/>
          <w:sz w:val="22"/>
          <w:szCs w:val="22"/>
        </w:rPr>
        <w:t>[</w:t>
      </w:r>
      <w:hyperlink w:anchor="_ENREF_33" w:tooltip="Powell, 2014 #5456" w:history="1">
        <w:r w:rsidRPr="00B33378">
          <w:rPr>
            <w:rFonts w:ascii="Times New Roman" w:eastAsia="Times New Roman" w:hAnsi="Times New Roman" w:cs="Times New Roman"/>
            <w:noProof/>
            <w:color w:val="000000"/>
            <w:sz w:val="22"/>
            <w:szCs w:val="22"/>
          </w:rPr>
          <w:t>3</w:t>
        </w:r>
      </w:hyperlink>
      <w:r w:rsidRPr="00B33378">
        <w:rPr>
          <w:rFonts w:ascii="Times New Roman" w:eastAsia="Times New Roman" w:hAnsi="Times New Roman" w:cs="Times New Roman"/>
          <w:noProof/>
          <w:color w:val="000000"/>
          <w:sz w:val="22"/>
          <w:szCs w:val="22"/>
        </w:rPr>
        <w:t>]</w:t>
      </w:r>
      <w:r w:rsidRPr="00B33378">
        <w:rPr>
          <w:rFonts w:ascii="Times New Roman" w:eastAsia="Times New Roman" w:hAnsi="Times New Roman" w:cs="Times New Roman"/>
          <w:color w:val="000000"/>
          <w:sz w:val="22"/>
          <w:szCs w:val="22"/>
        </w:rPr>
        <w:fldChar w:fldCharType="end"/>
      </w:r>
      <w:r w:rsidRPr="00B33378">
        <w:rPr>
          <w:rFonts w:ascii="Times New Roman" w:hAnsi="Times New Roman" w:cs="Times New Roman"/>
          <w:sz w:val="22"/>
          <w:szCs w:val="22"/>
        </w:rPr>
        <w:t xml:space="preserve">  For processed meats, which were not included in the ERS database, the average price was estimated </w:t>
      </w:r>
      <w:r w:rsidRPr="00B33378">
        <w:rPr>
          <w:rFonts w:ascii="Times New Roman" w:eastAsia="Times New Roman" w:hAnsi="Times New Roman" w:cs="Times New Roman"/>
          <w:color w:val="000000"/>
          <w:sz w:val="22"/>
          <w:szCs w:val="22"/>
          <w:lang w:eastAsia="zh-CN"/>
        </w:rPr>
        <w:t xml:space="preserve">using the </w:t>
      </w:r>
      <w:r w:rsidRPr="00B33378">
        <w:rPr>
          <w:rFonts w:ascii="Times New Roman" w:eastAsia="Times New Roman" w:hAnsi="Times New Roman" w:cs="Times New Roman"/>
          <w:sz w:val="22"/>
          <w:szCs w:val="22"/>
        </w:rPr>
        <w:t>recent USDA report on SNAP food purchases,</w:t>
      </w:r>
      <w:r w:rsidRPr="00B33378">
        <w:rPr>
          <w:rFonts w:ascii="Times New Roman" w:eastAsia="Times New Roman" w:hAnsi="Times New Roman" w:cs="Times New Roman"/>
          <w:sz w:val="22"/>
          <w:szCs w:val="22"/>
        </w:rPr>
        <w:fldChar w:fldCharType="begin"/>
      </w:r>
      <w:r w:rsidRPr="00B33378">
        <w:rPr>
          <w:rFonts w:ascii="Times New Roman" w:eastAsia="Times New Roman" w:hAnsi="Times New Roman" w:cs="Times New Roman"/>
          <w:sz w:val="22"/>
          <w:szCs w:val="22"/>
        </w:rPr>
        <w:instrText xml:space="preserve"> ADDIN EN.CITE &lt;EndNote&gt;&lt;Cite&gt;&lt;Author&gt;Garasky&lt;/Author&gt;&lt;Year&gt;2016&lt;/Year&gt;&lt;RecNum&gt;5408&lt;/RecNum&gt;&lt;DisplayText&gt;[35]&lt;/DisplayText&gt;&lt;record&gt;&lt;rec-number&gt;5408&lt;/rec-number&gt;&lt;foreign-keys&gt;&lt;key app="EN" db-id="xt2fa5pf1vvptiexpvnxtwzjsa5fest5z5vx"&gt;5408&lt;/key&gt;&lt;/foreign-keys&gt;&lt;ref-type name="Electronic Book"&gt;44&lt;/ref-type&gt;&lt;contributors&gt;&lt;authors&gt;&lt;author&gt;Garasky, S.&lt;/author&gt;&lt;author&gt;Mbwana, K.&lt;/author&gt;&lt;author&gt;Romualdo, A.&lt;/author&gt;&lt;author&gt;Tenaglio, A.&lt;/author&gt;&lt;author&gt;Roy, M.&lt;/author&gt;&lt;/authors&gt;&lt;/contributors&gt;&lt;titles&gt;&lt;title&gt;Foods Typically Purchased by Supplemental Nutrition Assistance Program (SNAP) Households&lt;/title&gt;&lt;secondary-title&gt;Prepared by IMPAQ International, LLC for USDA, Food and Nutrition Service &lt;/secondary-title&gt;&lt;/titles&gt;&lt;dates&gt;&lt;year&gt;2016&lt;/year&gt;&lt;/dates&gt;&lt;urls&gt;&lt;related-urls&gt;&lt;url&gt;https://fns-prod.azureedge.net/sites/default/files/ops/SNAPFoodsTypicallyPurchased.pdf&lt;/url&gt;&lt;/related-urls&gt;&lt;/urls&gt;&lt;access-date&gt;Jan 24, 2018&lt;/access-date&gt;&lt;/record&gt;&lt;/Cite&gt;&lt;/EndNote&gt;</w:instrText>
      </w:r>
      <w:r w:rsidRPr="00B33378">
        <w:rPr>
          <w:rFonts w:ascii="Times New Roman" w:eastAsia="Times New Roman" w:hAnsi="Times New Roman" w:cs="Times New Roman"/>
          <w:sz w:val="22"/>
          <w:szCs w:val="22"/>
        </w:rPr>
        <w:fldChar w:fldCharType="separate"/>
      </w:r>
      <w:r w:rsidRPr="00B33378">
        <w:rPr>
          <w:rFonts w:ascii="Times New Roman" w:eastAsia="Times New Roman" w:hAnsi="Times New Roman" w:cs="Times New Roman"/>
          <w:noProof/>
          <w:sz w:val="22"/>
          <w:szCs w:val="22"/>
        </w:rPr>
        <w:t>[</w:t>
      </w:r>
      <w:hyperlink w:anchor="_ENREF_35" w:tooltip="Garasky, 2016 #5408" w:history="1">
        <w:r w:rsidRPr="00B33378">
          <w:rPr>
            <w:rFonts w:ascii="Times New Roman" w:eastAsia="Times New Roman" w:hAnsi="Times New Roman" w:cs="Times New Roman"/>
            <w:noProof/>
            <w:sz w:val="22"/>
            <w:szCs w:val="22"/>
          </w:rPr>
          <w:t>5</w:t>
        </w:r>
      </w:hyperlink>
      <w:r w:rsidRPr="00B33378">
        <w:rPr>
          <w:rFonts w:ascii="Times New Roman" w:eastAsia="Times New Roman" w:hAnsi="Times New Roman" w:cs="Times New Roman"/>
          <w:noProof/>
          <w:sz w:val="22"/>
          <w:szCs w:val="22"/>
        </w:rPr>
        <w:t>]</w:t>
      </w:r>
      <w:r w:rsidRPr="00B33378">
        <w:rPr>
          <w:rFonts w:ascii="Times New Roman" w:eastAsia="Times New Roman" w:hAnsi="Times New Roman" w:cs="Times New Roman"/>
          <w:sz w:val="22"/>
          <w:szCs w:val="22"/>
        </w:rPr>
        <w:fldChar w:fldCharType="end"/>
      </w:r>
      <w:r w:rsidRPr="00B33378">
        <w:rPr>
          <w:rFonts w:ascii="Times New Roman" w:eastAsia="Times New Roman" w:hAnsi="Times New Roman" w:cs="Times New Roman"/>
          <w:sz w:val="22"/>
          <w:szCs w:val="22"/>
        </w:rPr>
        <w:t xml:space="preserve"> based on</w:t>
      </w:r>
      <w:r w:rsidRPr="00B33378">
        <w:rPr>
          <w:rFonts w:ascii="Times New Roman" w:eastAsia="Times New Roman" w:hAnsi="Times New Roman" w:cs="Times New Roman"/>
          <w:color w:val="000000"/>
          <w:sz w:val="22"/>
          <w:szCs w:val="22"/>
          <w:lang w:eastAsia="zh-CN"/>
        </w:rPr>
        <w:t xml:space="preserve"> the annual, aggregated expenditure of different types of processed meat (e.g., lunchmeat, bacon, hot dogs, etc.) as a</w:t>
      </w:r>
      <w:r w:rsidRPr="00B33378">
        <w:rPr>
          <w:rFonts w:ascii="Times New Roman" w:eastAsia="Times New Roman" w:hAnsi="Times New Roman" w:cs="Times New Roman"/>
          <w:sz w:val="22"/>
          <w:szCs w:val="22"/>
        </w:rPr>
        <w:t xml:space="preserve"> </w:t>
      </w:r>
      <w:r w:rsidRPr="00B33378">
        <w:rPr>
          <w:rFonts w:ascii="Times New Roman" w:eastAsia="Times New Roman" w:hAnsi="Times New Roman" w:cs="Times New Roman"/>
          <w:color w:val="000000"/>
          <w:sz w:val="22"/>
          <w:szCs w:val="22"/>
          <w:lang w:eastAsia="zh-CN"/>
        </w:rPr>
        <w:t xml:space="preserve">proportion of total spending on total meat, poultry, fish, and eggs (excluding spending on plant-based protein foods such as nuts, peanut butter, beans, etc.).  This proportion (20.31%) was applied to the daily per-person expenditure on total meat, poultry, fish and eggs for consumers in the lowest income quartile, a proxy for SNAP participants, of the </w:t>
      </w:r>
      <w:r w:rsidRPr="00B33378">
        <w:rPr>
          <w:rFonts w:ascii="Times New Roman" w:eastAsia="Times New Roman" w:hAnsi="Times New Roman" w:cs="Times New Roman"/>
          <w:sz w:val="22"/>
          <w:szCs w:val="22"/>
        </w:rPr>
        <w:t>Consumer Expenditure Survey</w:t>
      </w:r>
      <w:r w:rsidRPr="00B33378">
        <w:rPr>
          <w:rFonts w:ascii="Times New Roman" w:eastAsia="Times New Roman" w:hAnsi="Times New Roman" w:cs="Times New Roman"/>
          <w:sz w:val="22"/>
          <w:szCs w:val="22"/>
        </w:rPr>
        <w:fldChar w:fldCharType="begin"/>
      </w:r>
      <w:r w:rsidRPr="00B33378">
        <w:rPr>
          <w:rFonts w:ascii="Times New Roman" w:eastAsia="Times New Roman" w:hAnsi="Times New Roman" w:cs="Times New Roman"/>
          <w:sz w:val="22"/>
          <w:szCs w:val="22"/>
        </w:rPr>
        <w:instrText xml:space="preserve"> ADDIN EN.CITE &lt;EndNote&gt;&lt;Cite&gt;&lt;Author&gt;Bureau of Labor Statistics&lt;/Author&gt;&lt;Year&gt;2016&lt;/Year&gt;&lt;RecNum&gt;5542&lt;/RecNum&gt;&lt;DisplayText&gt;[34]&lt;/DisplayText&gt;&lt;record&gt;&lt;rec-number&gt;5542&lt;/rec-number&gt;&lt;foreign-keys&gt;&lt;key app="EN" db-id="xt2fa5pf1vvptiexpvnxtwzjsa5fest5z5vx"&gt;5542&lt;/key&gt;&lt;/foreign-keys&gt;&lt;ref-type name="Electronic Article"&gt;43&lt;/ref-type&gt;&lt;contributors&gt;&lt;authors&gt;&lt;author&gt;Bureau of Labor Statistics,&lt;/author&gt;&lt;author&gt;U.S. Department of Labor,&lt;/author&gt;&lt;/authors&gt;&lt;/contributors&gt;&lt;titles&gt;&lt;title&gt;Consumer Expenditure Survey&lt;/title&gt;&lt;/titles&gt;&lt;dates&gt;&lt;year&gt;2016&lt;/year&gt;&lt;pub-dates&gt;&lt;date&gt;Jan 24, 2018&lt;/date&gt;&lt;/pub-dates&gt;&lt;/dates&gt;&lt;urls&gt;&lt;related-urls&gt;&lt;url&gt;https://www.bls.gov/cex/&lt;/url&gt;&lt;/related-urls&gt;&lt;/urls&gt;&lt;/record&gt;&lt;/Cite&gt;&lt;/EndNote&gt;</w:instrText>
      </w:r>
      <w:r w:rsidRPr="00B33378">
        <w:rPr>
          <w:rFonts w:ascii="Times New Roman" w:eastAsia="Times New Roman" w:hAnsi="Times New Roman" w:cs="Times New Roman"/>
          <w:sz w:val="22"/>
          <w:szCs w:val="22"/>
        </w:rPr>
        <w:fldChar w:fldCharType="separate"/>
      </w:r>
      <w:r w:rsidRPr="00B33378">
        <w:rPr>
          <w:rFonts w:ascii="Times New Roman" w:eastAsia="Times New Roman" w:hAnsi="Times New Roman" w:cs="Times New Roman"/>
          <w:noProof/>
          <w:sz w:val="22"/>
          <w:szCs w:val="22"/>
        </w:rPr>
        <w:t>[</w:t>
      </w:r>
      <w:hyperlink w:anchor="_ENREF_34" w:tooltip="Bureau of Labor Statistics, 2016 #5542" w:history="1">
        <w:r w:rsidRPr="00B33378">
          <w:rPr>
            <w:rFonts w:ascii="Times New Roman" w:eastAsia="Times New Roman" w:hAnsi="Times New Roman" w:cs="Times New Roman"/>
            <w:noProof/>
            <w:sz w:val="22"/>
            <w:szCs w:val="22"/>
          </w:rPr>
          <w:t>4</w:t>
        </w:r>
      </w:hyperlink>
      <w:r w:rsidRPr="00B33378">
        <w:rPr>
          <w:rFonts w:ascii="Times New Roman" w:eastAsia="Times New Roman" w:hAnsi="Times New Roman" w:cs="Times New Roman"/>
          <w:noProof/>
          <w:sz w:val="22"/>
          <w:szCs w:val="22"/>
        </w:rPr>
        <w:t>]</w:t>
      </w:r>
      <w:r w:rsidRPr="00B33378">
        <w:rPr>
          <w:rFonts w:ascii="Times New Roman" w:eastAsia="Times New Roman" w:hAnsi="Times New Roman" w:cs="Times New Roman"/>
          <w:sz w:val="22"/>
          <w:szCs w:val="22"/>
        </w:rPr>
        <w:fldChar w:fldCharType="end"/>
      </w:r>
      <w:r w:rsidRPr="00B33378">
        <w:rPr>
          <w:rFonts w:ascii="Times New Roman" w:eastAsia="Times New Roman" w:hAnsi="Times New Roman" w:cs="Times New Roman"/>
          <w:color w:val="000000"/>
          <w:sz w:val="22"/>
          <w:szCs w:val="22"/>
          <w:lang w:eastAsia="zh-CN"/>
        </w:rPr>
        <w:t xml:space="preserve"> to estimate the per-person daily expenditure on processed meat.  This value was divided by the per-person daily consumption of processed meat among SNAP adult participants in NHANES 2009-14 to estimate the average unit cost of processed meat in $/100g.</w:t>
      </w:r>
      <w:r w:rsidRPr="00B33378">
        <w:rPr>
          <w:rFonts w:ascii="Times New Roman" w:hAnsi="Times New Roman" w:cs="Times New Roman"/>
          <w:sz w:val="22"/>
          <w:szCs w:val="22"/>
          <w:vertAlign w:val="superscript"/>
        </w:rPr>
        <w:br/>
      </w:r>
    </w:p>
    <w:p w:rsidR="00810DEF" w:rsidRPr="00B33378" w:rsidRDefault="00810DEF" w:rsidP="00810DEF">
      <w:pPr>
        <w:rPr>
          <w:rFonts w:ascii="Times New Roman" w:hAnsi="Times New Roman" w:cs="Times New Roman"/>
          <w:b/>
        </w:rPr>
      </w:pPr>
      <w:bookmarkStart w:id="2" w:name="_Hlk523320227"/>
      <w:bookmarkStart w:id="3" w:name="_Hlk523320286"/>
      <w:r w:rsidRPr="00B33378">
        <w:rPr>
          <w:rFonts w:ascii="Times New Roman" w:hAnsi="Times New Roman" w:cs="Times New Roman"/>
          <w:b/>
        </w:rPr>
        <w:t>References</w:t>
      </w:r>
      <w:bookmarkEnd w:id="2"/>
    </w:p>
    <w:bookmarkEnd w:id="3"/>
    <w:p w:rsidR="006C5844" w:rsidRDefault="006C5844"/>
    <w:p w:rsidR="00B42EFD" w:rsidRPr="00B33378" w:rsidRDefault="00B42EFD" w:rsidP="00B42EFD">
      <w:pPr>
        <w:pStyle w:val="EndNoteBibliography"/>
        <w:rPr>
          <w:noProof/>
        </w:rPr>
      </w:pPr>
      <w:bookmarkStart w:id="4" w:name="_ENREF_32"/>
      <w:bookmarkStart w:id="5" w:name="_ENREF_25"/>
      <w:r>
        <w:rPr>
          <w:noProof/>
        </w:rPr>
        <w:t>1</w:t>
      </w:r>
      <w:r w:rsidRPr="00B33378">
        <w:rPr>
          <w:noProof/>
        </w:rPr>
        <w:t>.</w:t>
      </w:r>
      <w:r w:rsidRPr="00B33378">
        <w:rPr>
          <w:noProof/>
        </w:rPr>
        <w:tab/>
        <w:t xml:space="preserve">Bartlett S, Klerman J, Olsho L, Logan C, Blocklin M, Beauregard M, et al. Evaluation of the Healthy Incentives Pilot (HIP): Final Report Alexandria, VA: USDA Food and Nutrition Service; 2014 [cited 2015 September 30]. Available from: </w:t>
      </w:r>
      <w:hyperlink r:id="rId4" w:history="1">
        <w:r w:rsidRPr="00B33378">
          <w:rPr>
            <w:rStyle w:val="Hyperlink"/>
            <w:noProof/>
          </w:rPr>
          <w:t>http://www.fns.usda.gov/sites/default/files/HIP-Final.pdf</w:t>
        </w:r>
      </w:hyperlink>
      <w:r w:rsidRPr="00B33378">
        <w:rPr>
          <w:noProof/>
        </w:rPr>
        <w:t>.</w:t>
      </w:r>
      <w:bookmarkEnd w:id="5"/>
    </w:p>
    <w:p w:rsidR="00810DEF" w:rsidRPr="00B33378" w:rsidRDefault="00810DEF" w:rsidP="00810DEF">
      <w:pPr>
        <w:pStyle w:val="EndNoteBibliography"/>
        <w:rPr>
          <w:noProof/>
        </w:rPr>
      </w:pPr>
      <w:r w:rsidRPr="00B33378">
        <w:rPr>
          <w:noProof/>
        </w:rPr>
        <w:t>2.</w:t>
      </w:r>
      <w:r w:rsidRPr="00B33378">
        <w:rPr>
          <w:noProof/>
        </w:rPr>
        <w:tab/>
        <w:t xml:space="preserve">U.S. Department of Agriculture, Economic Research Service. Quarterly Food-at-Home Price Database. Available from: </w:t>
      </w:r>
      <w:hyperlink r:id="rId5" w:history="1">
        <w:r w:rsidRPr="00B33378">
          <w:rPr>
            <w:rStyle w:val="Hyperlink"/>
            <w:noProof/>
          </w:rPr>
          <w:t>https://www.ers.usda.gov/data-products/quarterly-food-at-home-price-database/</w:t>
        </w:r>
      </w:hyperlink>
      <w:r w:rsidRPr="00B33378">
        <w:rPr>
          <w:noProof/>
        </w:rPr>
        <w:t>.</w:t>
      </w:r>
      <w:bookmarkEnd w:id="4"/>
    </w:p>
    <w:p w:rsidR="00810DEF" w:rsidRPr="00B33378" w:rsidRDefault="00810DEF" w:rsidP="00810DEF">
      <w:pPr>
        <w:pStyle w:val="EndNoteBibliography"/>
        <w:rPr>
          <w:noProof/>
        </w:rPr>
      </w:pPr>
      <w:bookmarkStart w:id="6" w:name="_ENREF_33"/>
      <w:r w:rsidRPr="00B33378">
        <w:rPr>
          <w:noProof/>
        </w:rPr>
        <w:t>3.</w:t>
      </w:r>
      <w:r w:rsidRPr="00B33378">
        <w:rPr>
          <w:noProof/>
        </w:rPr>
        <w:tab/>
        <w:t>Powell L, Isgor Z, Rimkus L, Chaloupka F. Sugar-sweetened beverage prices: estimates from a national sample of food outlets. Bridging the Gap Program, Health Policy Center, Institute for Health Research and Policy, University of Illinois at Chicago, Chicago, IL. 2014.</w:t>
      </w:r>
      <w:bookmarkEnd w:id="6"/>
    </w:p>
    <w:p w:rsidR="00810DEF" w:rsidRPr="00B33378" w:rsidRDefault="00810DEF" w:rsidP="00810DEF">
      <w:pPr>
        <w:pStyle w:val="EndNoteBibliography"/>
        <w:rPr>
          <w:noProof/>
        </w:rPr>
      </w:pPr>
      <w:bookmarkStart w:id="7" w:name="_ENREF_34"/>
      <w:r w:rsidRPr="00B33378">
        <w:rPr>
          <w:noProof/>
        </w:rPr>
        <w:t>4.</w:t>
      </w:r>
      <w:r w:rsidRPr="00B33378">
        <w:rPr>
          <w:noProof/>
        </w:rPr>
        <w:tab/>
        <w:t xml:space="preserve">Bureau of Labor Statistics, U.S. Department of Labor. Consumer Expenditure Survey2016 Jan 24, 2018. Available from: </w:t>
      </w:r>
      <w:hyperlink r:id="rId6" w:history="1">
        <w:r w:rsidRPr="00B33378">
          <w:rPr>
            <w:rStyle w:val="Hyperlink"/>
            <w:noProof/>
          </w:rPr>
          <w:t>https://www.bls.gov/cex/</w:t>
        </w:r>
      </w:hyperlink>
      <w:r w:rsidRPr="00B33378">
        <w:rPr>
          <w:noProof/>
        </w:rPr>
        <w:t>.</w:t>
      </w:r>
      <w:bookmarkEnd w:id="7"/>
    </w:p>
    <w:p w:rsidR="00810DEF" w:rsidRPr="00B33378" w:rsidRDefault="00810DEF" w:rsidP="00810DEF">
      <w:pPr>
        <w:pStyle w:val="EndNoteBibliography"/>
        <w:rPr>
          <w:noProof/>
        </w:rPr>
      </w:pPr>
      <w:bookmarkStart w:id="8" w:name="_ENREF_35"/>
      <w:r w:rsidRPr="00B33378">
        <w:rPr>
          <w:noProof/>
        </w:rPr>
        <w:t>5.</w:t>
      </w:r>
      <w:r w:rsidRPr="00B33378">
        <w:rPr>
          <w:noProof/>
        </w:rPr>
        <w:tab/>
        <w:t xml:space="preserve">Garasky S, Mbwana K, Romualdo A, Tenaglio A, Roy M. Foods Typically Purchased by Supplemental Nutrition Assistance Program (SNAP) Households 2016. Available from: </w:t>
      </w:r>
      <w:hyperlink r:id="rId7" w:history="1">
        <w:r w:rsidRPr="00B33378">
          <w:rPr>
            <w:rStyle w:val="Hyperlink"/>
            <w:noProof/>
          </w:rPr>
          <w:t>https://fns-prod.azureedge.net/sites/default/files/ops/SNAPFoodsTypicallyPurchased.pdf</w:t>
        </w:r>
      </w:hyperlink>
      <w:r w:rsidRPr="00B33378">
        <w:rPr>
          <w:noProof/>
        </w:rPr>
        <w:t>.</w:t>
      </w:r>
      <w:bookmarkEnd w:id="8"/>
    </w:p>
    <w:p w:rsidR="00810DEF" w:rsidRPr="00B33378" w:rsidRDefault="00810DEF" w:rsidP="00810DEF">
      <w:pPr>
        <w:pStyle w:val="EndNoteBibliography"/>
        <w:rPr>
          <w:noProof/>
        </w:rPr>
      </w:pPr>
      <w:bookmarkStart w:id="9" w:name="_ENREF_36"/>
      <w:r w:rsidRPr="00B33378">
        <w:rPr>
          <w:noProof/>
        </w:rPr>
        <w:t>6.</w:t>
      </w:r>
      <w:r w:rsidRPr="00B33378">
        <w:rPr>
          <w:noProof/>
        </w:rPr>
        <w:tab/>
        <w:t xml:space="preserve">U.S. Department of Labor. The Bureau of Labor Statistics' Consumer Price Index 2017 [cited 2017 October 16]. Available from: </w:t>
      </w:r>
      <w:hyperlink r:id="rId8" w:anchor="prices" w:history="1">
        <w:r w:rsidRPr="00B33378">
          <w:rPr>
            <w:rStyle w:val="Hyperlink"/>
            <w:noProof/>
          </w:rPr>
          <w:t>https://www.bls.gov/data/#prices</w:t>
        </w:r>
      </w:hyperlink>
      <w:r w:rsidRPr="00B33378">
        <w:rPr>
          <w:noProof/>
        </w:rPr>
        <w:t>.</w:t>
      </w:r>
      <w:bookmarkEnd w:id="9"/>
    </w:p>
    <w:p w:rsidR="00810DEF" w:rsidRDefault="00810DEF"/>
    <w:sectPr w:rsidR="00810DEF" w:rsidSect="00B42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EF"/>
    <w:rsid w:val="006C5844"/>
    <w:rsid w:val="00810DEF"/>
    <w:rsid w:val="00B4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38CB"/>
  <w15:chartTrackingRefBased/>
  <w15:docId w15:val="{2438F296-CF4E-48F7-9F1E-5A246D9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DE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10D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DE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10DE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10DEF"/>
    <w:rPr>
      <w:rFonts w:ascii="Times New Roman" w:hAnsi="Times New Roman" w:cs="Times New Roman"/>
      <w:sz w:val="22"/>
    </w:rPr>
  </w:style>
  <w:style w:type="character" w:styleId="Hyperlink">
    <w:name w:val="Hyperlink"/>
    <w:basedOn w:val="DefaultParagraphFont"/>
    <w:uiPriority w:val="99"/>
    <w:unhideWhenUsed/>
    <w:rsid w:val="00810DEF"/>
    <w:rPr>
      <w:color w:val="0563C1" w:themeColor="hyperlink"/>
      <w:u w:val="single"/>
    </w:rPr>
  </w:style>
  <w:style w:type="character" w:customStyle="1" w:styleId="EndNoteBibliographyChar">
    <w:name w:val="EndNote Bibliography Char"/>
    <w:basedOn w:val="DefaultParagraphFont"/>
    <w:link w:val="EndNoteBibliography"/>
    <w:rsid w:val="00810DEF"/>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data/" TargetMode="External"/><Relationship Id="rId3" Type="http://schemas.openxmlformats.org/officeDocument/2006/relationships/webSettings" Target="webSettings.xml"/><Relationship Id="rId7" Type="http://schemas.openxmlformats.org/officeDocument/2006/relationships/hyperlink" Target="https://fns-prod.azureedge.net/sites/default/files/ops/SNAPFoodsTypicallyPurchas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s.gov/cex/" TargetMode="External"/><Relationship Id="rId5" Type="http://schemas.openxmlformats.org/officeDocument/2006/relationships/hyperlink" Target="https://www.ers.usda.gov/data-products/quarterly-food-at-home-price-database/" TargetMode="External"/><Relationship Id="rId10" Type="http://schemas.openxmlformats.org/officeDocument/2006/relationships/theme" Target="theme/theme1.xml"/><Relationship Id="rId4" Type="http://schemas.openxmlformats.org/officeDocument/2006/relationships/hyperlink" Target="http://www.fns.usda.gov/sites/default/files/HIP-Fina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Burd</dc:creator>
  <cp:keywords/>
  <dc:description/>
  <cp:lastModifiedBy>Charlie Burd</cp:lastModifiedBy>
  <cp:revision>2</cp:revision>
  <dcterms:created xsi:type="dcterms:W3CDTF">2018-08-29T22:58:00Z</dcterms:created>
  <dcterms:modified xsi:type="dcterms:W3CDTF">2018-08-29T23:20:00Z</dcterms:modified>
</cp:coreProperties>
</file>