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82BF5" w14:textId="77777777" w:rsidR="00570406" w:rsidRDefault="00381CE6" w:rsidP="004C4D31">
      <w:pPr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</w:rPr>
        <w:t>S1 Text:</w:t>
      </w:r>
      <w:bookmarkStart w:id="0" w:name="_GoBack"/>
      <w:bookmarkEnd w:id="0"/>
      <w:r w:rsidR="004F09C1">
        <w:rPr>
          <w:rFonts w:asciiTheme="majorHAnsi" w:hAnsiTheme="majorHAnsi" w:cs="Calibri"/>
        </w:rPr>
        <w:t xml:space="preserve"> Calculating the </w:t>
      </w:r>
      <w:r w:rsidR="00570406">
        <w:rPr>
          <w:rFonts w:asciiTheme="majorHAnsi" w:hAnsiTheme="majorHAnsi" w:cs="Calibri"/>
        </w:rPr>
        <w:t>Wealth Index</w:t>
      </w:r>
    </w:p>
    <w:p w14:paraId="4B4B407A" w14:textId="77777777" w:rsidR="004F09C1" w:rsidRDefault="004F09C1" w:rsidP="002D0846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0F5666F" w14:textId="77777777" w:rsidR="00291014" w:rsidRDefault="004F09C1" w:rsidP="002D0846">
      <w:pPr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Variables used and methods included to create the wealth index were based on methods developed by Demographic and Health Surveys (DHS)</w:t>
      </w:r>
      <w:r>
        <w:rPr>
          <w:rFonts w:asciiTheme="majorHAnsi" w:hAnsiTheme="majorHAnsi" w:cs="Calibri"/>
        </w:rPr>
        <w:fldChar w:fldCharType="begin"/>
      </w:r>
      <w:r>
        <w:rPr>
          <w:rFonts w:asciiTheme="majorHAnsi" w:hAnsiTheme="majorHAnsi" w:cs="Calibri"/>
        </w:rPr>
        <w:instrText xml:space="preserve"> ADDIN EN.CITE &lt;EndNote&gt;&lt;Cite&gt;&lt;Author&gt;Rutsein&lt;/Author&gt;&lt;Year&gt;2004&lt;/Year&gt;&lt;RecNum&gt;334&lt;/RecNum&gt;&lt;DisplayText&gt;&lt;style face="superscript"&gt;1&lt;/style&gt;&lt;/DisplayText&gt;&lt;record&gt;&lt;rec-number&gt;334&lt;/rec-number&gt;&lt;foreign-keys&gt;&lt;key app="EN" db-id="t0s5zpx25rtv9hepzvopd0razffdxvftt5a5" timestamp="1439384681"&gt;334&lt;/key&gt;&lt;/foreign-keys&gt;&lt;ref-type name="Report"&gt;27&lt;/ref-type&gt;&lt;contributors&gt;&lt;authors&gt;&lt;author&gt;Rutsein, Shea O. &lt;/author&gt;&lt;author&gt;Johnson, Kiersten &lt;/author&gt;&lt;/authors&gt;&lt;/contributors&gt;&lt;titles&gt;&lt;title&gt;The DHS Wealth Index&lt;/title&gt;&lt;secondary-title&gt;DHS Comparative Reports&lt;/secondary-title&gt;&lt;/titles&gt;&lt;number&gt;No. 6&lt;/number&gt;&lt;dates&gt;&lt;year&gt;2004&lt;/year&gt;&lt;/dates&gt;&lt;pub-location&gt;Calverton, Maryland, USA&lt;/pub-location&gt;&lt;urls&gt;&lt;/urls&gt;&lt;/record&gt;&lt;/Cite&gt;&lt;/EndNote&gt;</w:instrText>
      </w:r>
      <w:r>
        <w:rPr>
          <w:rFonts w:asciiTheme="majorHAnsi" w:hAnsiTheme="majorHAnsi" w:cs="Calibri"/>
        </w:rPr>
        <w:fldChar w:fldCharType="separate"/>
      </w:r>
      <w:r w:rsidRPr="004F09C1">
        <w:rPr>
          <w:rFonts w:asciiTheme="majorHAnsi" w:hAnsiTheme="majorHAnsi" w:cs="Calibri"/>
          <w:noProof/>
          <w:vertAlign w:val="superscript"/>
        </w:rPr>
        <w:t>1</w:t>
      </w:r>
      <w:r>
        <w:rPr>
          <w:rFonts w:asciiTheme="majorHAnsi" w:hAnsiTheme="majorHAnsi" w:cs="Calibri"/>
        </w:rPr>
        <w:fldChar w:fldCharType="end"/>
      </w:r>
      <w:r>
        <w:rPr>
          <w:rFonts w:asciiTheme="majorHAnsi" w:hAnsiTheme="majorHAnsi" w:cs="Calibri"/>
        </w:rPr>
        <w:t xml:space="preserve">. </w:t>
      </w:r>
      <w:r w:rsidR="002D0846">
        <w:rPr>
          <w:rFonts w:asciiTheme="majorHAnsi" w:hAnsiTheme="majorHAnsi" w:cs="Calibri"/>
        </w:rPr>
        <w:t xml:space="preserve">Frequency tables were </w:t>
      </w:r>
      <w:r w:rsidR="002D0846" w:rsidRPr="00B64FE9">
        <w:rPr>
          <w:rFonts w:asciiTheme="majorHAnsi" w:hAnsiTheme="majorHAnsi" w:cs="Calibri"/>
        </w:rPr>
        <w:t>created for each of the indicators in the wealth in</w:t>
      </w:r>
      <w:r w:rsidR="002D0846">
        <w:rPr>
          <w:rFonts w:asciiTheme="majorHAnsi" w:hAnsiTheme="majorHAnsi" w:cs="Calibri"/>
        </w:rPr>
        <w:t xml:space="preserve">dex. Sparsity in categories was </w:t>
      </w:r>
      <w:r w:rsidR="002D0846" w:rsidRPr="00B64FE9">
        <w:rPr>
          <w:rFonts w:asciiTheme="majorHAnsi" w:hAnsiTheme="majorHAnsi" w:cs="Calibri"/>
        </w:rPr>
        <w:t>improved by collapsing categories into meaningful dimens</w:t>
      </w:r>
      <w:r w:rsidR="002D0846">
        <w:rPr>
          <w:rFonts w:asciiTheme="majorHAnsi" w:hAnsiTheme="majorHAnsi" w:cs="Calibri"/>
        </w:rPr>
        <w:t>ions (e.g. wall materials was</w:t>
      </w:r>
      <w:r w:rsidR="002D0846" w:rsidRPr="00B64FE9">
        <w:rPr>
          <w:rFonts w:asciiTheme="majorHAnsi" w:hAnsiTheme="majorHAnsi" w:cs="Calibri"/>
        </w:rPr>
        <w:t xml:space="preserve"> grouped into “porous” and “</w:t>
      </w:r>
      <w:r w:rsidR="002D0846">
        <w:rPr>
          <w:rFonts w:asciiTheme="majorHAnsi" w:hAnsiTheme="majorHAnsi" w:cs="Calibri"/>
        </w:rPr>
        <w:t>non-porous”</w:t>
      </w:r>
      <w:r w:rsidR="002D0846" w:rsidRPr="00B64FE9">
        <w:rPr>
          <w:rFonts w:asciiTheme="majorHAnsi" w:hAnsiTheme="majorHAnsi" w:cs="Calibri"/>
        </w:rPr>
        <w:t>; roof type into thatched vs. not).</w:t>
      </w:r>
      <w:r w:rsidR="002D0846">
        <w:rPr>
          <w:rFonts w:asciiTheme="majorHAnsi" w:hAnsiTheme="majorHAnsi" w:cs="Calibri"/>
        </w:rPr>
        <w:t xml:space="preserve"> Once meaningful categories were created</w:t>
      </w:r>
      <w:r w:rsidR="002D0846" w:rsidRPr="00B64FE9">
        <w:rPr>
          <w:rFonts w:asciiTheme="majorHAnsi" w:hAnsiTheme="majorHAnsi" w:cs="Calibri"/>
        </w:rPr>
        <w:t xml:space="preserve"> for each of the categorical v</w:t>
      </w:r>
      <w:r w:rsidR="002D0846">
        <w:rPr>
          <w:rFonts w:asciiTheme="majorHAnsi" w:hAnsiTheme="majorHAnsi" w:cs="Calibri"/>
        </w:rPr>
        <w:t>ariables, binary indicators were</w:t>
      </w:r>
      <w:r w:rsidR="002D0846" w:rsidRPr="00B64FE9">
        <w:rPr>
          <w:rFonts w:asciiTheme="majorHAnsi" w:hAnsiTheme="majorHAnsi" w:cs="Calibri"/>
        </w:rPr>
        <w:t xml:space="preserve"> crea</w:t>
      </w:r>
      <w:r w:rsidR="00F52106">
        <w:rPr>
          <w:rFonts w:asciiTheme="majorHAnsi" w:hAnsiTheme="majorHAnsi" w:cs="Calibri"/>
        </w:rPr>
        <w:t>ted to represent each “category</w:t>
      </w:r>
      <w:r w:rsidR="002D0846" w:rsidRPr="00B64FE9">
        <w:rPr>
          <w:rFonts w:asciiTheme="majorHAnsi" w:hAnsiTheme="majorHAnsi" w:cs="Calibri"/>
        </w:rPr>
        <w:t>”</w:t>
      </w:r>
      <w:r w:rsidR="00F52106">
        <w:rPr>
          <w:rFonts w:asciiTheme="majorHAnsi" w:hAnsiTheme="majorHAnsi" w:cs="Calibri"/>
        </w:rPr>
        <w:t xml:space="preserve"> (Supplementary Table 1)</w:t>
      </w:r>
      <w:r>
        <w:rPr>
          <w:rFonts w:asciiTheme="majorHAnsi" w:hAnsiTheme="majorHAnsi" w:cs="Calibri"/>
        </w:rPr>
        <w:t>. For all index variables, the binary value o</w:t>
      </w:r>
      <w:r w:rsidR="00291014">
        <w:rPr>
          <w:rFonts w:asciiTheme="majorHAnsi" w:hAnsiTheme="majorHAnsi" w:cs="Calibri"/>
        </w:rPr>
        <w:t>f one corresponded to the item associate with higher SES.</w:t>
      </w:r>
      <w:r w:rsidR="00F52106">
        <w:rPr>
          <w:rFonts w:asciiTheme="majorHAnsi" w:hAnsiTheme="majorHAnsi" w:cs="Calibri"/>
        </w:rPr>
        <w:t xml:space="preserve"> </w:t>
      </w:r>
      <w:r w:rsidR="002D0846" w:rsidRPr="00B64FE9">
        <w:rPr>
          <w:rFonts w:asciiTheme="majorHAnsi" w:hAnsiTheme="majorHAnsi" w:cs="Calibri"/>
        </w:rPr>
        <w:t xml:space="preserve"> </w:t>
      </w:r>
    </w:p>
    <w:p w14:paraId="01676933" w14:textId="77777777" w:rsidR="00291014" w:rsidRDefault="00291014" w:rsidP="002D0846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773B77D4" w14:textId="77777777" w:rsidR="002D0846" w:rsidRPr="00B64FE9" w:rsidRDefault="002D0846" w:rsidP="002D0846">
      <w:pPr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Because our variables were categorical, rather than </w:t>
      </w:r>
      <w:r w:rsidR="00291014">
        <w:rPr>
          <w:rFonts w:asciiTheme="majorHAnsi" w:hAnsiTheme="majorHAnsi" w:cs="Calibri"/>
        </w:rPr>
        <w:t xml:space="preserve">the </w:t>
      </w:r>
      <w:r>
        <w:rPr>
          <w:rFonts w:asciiTheme="majorHAnsi" w:hAnsiTheme="majorHAnsi" w:cs="Calibri"/>
        </w:rPr>
        <w:t xml:space="preserve">normally distributed continuous variables appropriate for the default Pearson correlation matrix constructed as part of traditional </w:t>
      </w:r>
      <w:r w:rsidR="00514FDB">
        <w:rPr>
          <w:rFonts w:asciiTheme="majorHAnsi" w:hAnsiTheme="majorHAnsi" w:cs="Calibri"/>
        </w:rPr>
        <w:t>principal components analysis (</w:t>
      </w:r>
      <w:r>
        <w:rPr>
          <w:rFonts w:asciiTheme="majorHAnsi" w:hAnsiTheme="majorHAnsi" w:cs="Calibri"/>
        </w:rPr>
        <w:t>PCA</w:t>
      </w:r>
      <w:r w:rsidR="00514FDB">
        <w:rPr>
          <w:rFonts w:asciiTheme="majorHAnsi" w:hAnsiTheme="majorHAnsi" w:cs="Calibri"/>
        </w:rPr>
        <w:t>)</w:t>
      </w:r>
      <w:r>
        <w:rPr>
          <w:rFonts w:asciiTheme="majorHAnsi" w:hAnsiTheme="majorHAnsi" w:cs="Calibri"/>
        </w:rPr>
        <w:t xml:space="preserve"> analysis, a</w:t>
      </w:r>
      <w:r w:rsidRPr="00B64FE9">
        <w:rPr>
          <w:rFonts w:asciiTheme="majorHAnsi" w:hAnsiTheme="majorHAnsi" w:cs="Calibri"/>
        </w:rPr>
        <w:t xml:space="preserve"> polyc</w:t>
      </w:r>
      <w:r>
        <w:rPr>
          <w:rFonts w:asciiTheme="majorHAnsi" w:hAnsiTheme="majorHAnsi" w:cs="Calibri"/>
        </w:rPr>
        <w:t>horic correlation matrix was computed</w:t>
      </w:r>
      <w:r w:rsidRPr="00B64FE9">
        <w:rPr>
          <w:rFonts w:asciiTheme="majorHAnsi" w:hAnsiTheme="majorHAnsi" w:cs="Calibri"/>
        </w:rPr>
        <w:t xml:space="preserve"> for the final set of variables and used in the subsequent factor analysis</w:t>
      </w:r>
      <w:r w:rsidR="00291014">
        <w:rPr>
          <w:rFonts w:asciiTheme="majorHAnsi" w:hAnsiTheme="majorHAnsi" w:cs="Calibri"/>
        </w:rPr>
        <w:t xml:space="preserve">. </w:t>
      </w:r>
      <w:r w:rsidRPr="00B64FE9">
        <w:rPr>
          <w:rFonts w:asciiTheme="majorHAnsi" w:hAnsiTheme="majorHAnsi" w:cs="Calibri"/>
        </w:rPr>
        <w:t xml:space="preserve"> retaining only the first factor.</w:t>
      </w:r>
      <w:r w:rsidR="001969AF">
        <w:rPr>
          <w:rFonts w:asciiTheme="majorHAnsi" w:hAnsiTheme="majorHAnsi" w:cs="Calibri"/>
        </w:rPr>
        <w:fldChar w:fldCharType="begin"/>
      </w:r>
      <w:r w:rsidR="004F09C1">
        <w:rPr>
          <w:rFonts w:asciiTheme="majorHAnsi" w:hAnsiTheme="majorHAnsi" w:cs="Calibri"/>
        </w:rPr>
        <w:instrText xml:space="preserve"> ADDIN EN.CITE &lt;EndNote&gt;&lt;Cite&gt;&lt;Author&gt;Kolenikov&lt;/Author&gt;&lt;Year&gt;2009&lt;/Year&gt;&lt;RecNum&gt;697&lt;/RecNum&gt;&lt;DisplayText&gt;&lt;style face="superscript"&gt;2&lt;/style&gt;&lt;/DisplayText&gt;&lt;record&gt;&lt;rec-number&gt;697&lt;/rec-number&gt;&lt;foreign-keys&gt;&lt;key app="EN" db-id="t0s5zpx25rtv9hepzvopd0razffdxvftt5a5" timestamp="1505137896"&gt;697&lt;/key&gt;&lt;/foreign-keys&gt;&lt;ref-type name="Journal Article"&gt;17&lt;/ref-type&gt;&lt;contributors&gt;&lt;authors&gt;&lt;author&gt;Kolenikov, Stanislav&lt;/author&gt;&lt;author&gt;Angeles, Gustavo&lt;/author&gt;&lt;/authors&gt;&lt;/contributors&gt;&lt;titles&gt;&lt;title&gt;Socioeconomic Status Measurement with Discrete Proxy Variables: Is Principal Component Analysis a Reliable Answer?&lt;/title&gt;&lt;secondary-title&gt;Review of Income and Wealth&lt;/secondary-title&gt;&lt;/titles&gt;&lt;periodical&gt;&lt;full-title&gt;Review of Income and Wealth&lt;/full-title&gt;&lt;/periodical&gt;&lt;pages&gt;128-165&lt;/pages&gt;&lt;volume&gt;55&lt;/volume&gt;&lt;number&gt;1&lt;/number&gt;&lt;dates&gt;&lt;year&gt;2009&lt;/year&gt;&lt;/dates&gt;&lt;publisher&gt;Blackwell Publishing Ltd&lt;/publisher&gt;&lt;isbn&gt;1475-4991&lt;/isbn&gt;&lt;urls&gt;&lt;related-urls&gt;&lt;url&gt;http://dx.doi.org/10.1111/j.1475-4991.2008.00309.x&lt;/url&gt;&lt;/related-urls&gt;&lt;/urls&gt;&lt;electronic-resource-num&gt;10.1111/j.1475-4991.2008.00309.x&lt;/electronic-resource-num&gt;&lt;/record&gt;&lt;/Cite&gt;&lt;/EndNote&gt;</w:instrText>
      </w:r>
      <w:r w:rsidR="001969AF">
        <w:rPr>
          <w:rFonts w:asciiTheme="majorHAnsi" w:hAnsiTheme="majorHAnsi" w:cs="Calibri"/>
        </w:rPr>
        <w:fldChar w:fldCharType="separate"/>
      </w:r>
      <w:r w:rsidR="004F09C1" w:rsidRPr="004F09C1">
        <w:rPr>
          <w:rFonts w:asciiTheme="majorHAnsi" w:hAnsiTheme="majorHAnsi" w:cs="Calibri"/>
          <w:noProof/>
          <w:vertAlign w:val="superscript"/>
        </w:rPr>
        <w:t>2</w:t>
      </w:r>
      <w:r w:rsidR="001969AF">
        <w:rPr>
          <w:rFonts w:asciiTheme="majorHAnsi" w:hAnsiTheme="majorHAnsi" w:cs="Calibri"/>
        </w:rPr>
        <w:fldChar w:fldCharType="end"/>
      </w:r>
      <w:r w:rsidRPr="00B64FE9">
        <w:rPr>
          <w:rFonts w:asciiTheme="majorHAnsi" w:hAnsiTheme="majorHAnsi" w:cs="Calibri"/>
        </w:rPr>
        <w:t xml:space="preserve"> </w:t>
      </w:r>
      <w:r w:rsidR="00685A12">
        <w:rPr>
          <w:rFonts w:asciiTheme="majorHAnsi" w:hAnsiTheme="majorHAnsi" w:cs="Calibri"/>
        </w:rPr>
        <w:t>T</w:t>
      </w:r>
      <w:r w:rsidR="00685A12" w:rsidRPr="00B64FE9">
        <w:rPr>
          <w:rFonts w:asciiTheme="majorHAnsi" w:hAnsiTheme="majorHAnsi" w:cs="Calibri"/>
        </w:rPr>
        <w:t>o complete the wealth index</w:t>
      </w:r>
      <w:r w:rsidRPr="00B64FE9">
        <w:rPr>
          <w:rFonts w:asciiTheme="majorHAnsi" w:hAnsiTheme="majorHAnsi" w:cs="Calibri"/>
        </w:rPr>
        <w:t>, a factor score w</w:t>
      </w:r>
      <w:r w:rsidR="001969AF">
        <w:rPr>
          <w:rFonts w:asciiTheme="majorHAnsi" w:hAnsiTheme="majorHAnsi" w:cs="Calibri"/>
        </w:rPr>
        <w:t>as</w:t>
      </w:r>
      <w:r w:rsidRPr="00B64FE9">
        <w:rPr>
          <w:rFonts w:asciiTheme="majorHAnsi" w:hAnsiTheme="majorHAnsi" w:cs="Calibri"/>
        </w:rPr>
        <w:t xml:space="preserve"> computed for each household. </w:t>
      </w:r>
      <w:r w:rsidR="005A5C06">
        <w:rPr>
          <w:rFonts w:asciiTheme="majorHAnsi" w:hAnsiTheme="majorHAnsi" w:cs="Calibri"/>
        </w:rPr>
        <w:t>Construction of the wealth index was performed using the polychoricpca package</w:t>
      </w:r>
      <w:r w:rsidR="005A5C06">
        <w:rPr>
          <w:rFonts w:asciiTheme="majorHAnsi" w:hAnsiTheme="majorHAnsi" w:cs="Calibri"/>
        </w:rPr>
        <w:fldChar w:fldCharType="begin"/>
      </w:r>
      <w:r w:rsidR="005A5C06">
        <w:rPr>
          <w:rFonts w:asciiTheme="majorHAnsi" w:hAnsiTheme="majorHAnsi" w:cs="Calibri"/>
        </w:rPr>
        <w:instrText xml:space="preserve"> ADDIN EN.CITE &lt;EndNote&gt;&lt;Cite&gt;&lt;Author&gt;Kolenikov&lt;/Author&gt;&lt;Year&gt;2004&lt;/Year&gt;&lt;RecNum&gt;698&lt;/RecNum&gt;&lt;DisplayText&gt;&lt;style face="superscript"&gt;3&lt;/style&gt;&lt;/DisplayText&gt;&lt;record&gt;&lt;rec-number&gt;698&lt;/rec-number&gt;&lt;foreign-keys&gt;&lt;key app="EN" db-id="t0s5zpx25rtv9hepzvopd0razffdxvftt5a5" timestamp="1505145806"&gt;698&lt;/key&gt;&lt;/foreign-keys&gt;&lt;ref-type name="Report"&gt;27&lt;/ref-type&gt;&lt;contributors&gt;&lt;authors&gt;&lt;author&gt;Kolenikov, Stanislav&lt;/author&gt;&lt;author&gt;Ángeles, Gustavo&lt;/author&gt;&lt;/authors&gt;&lt;/contributors&gt;&lt;titles&gt;&lt;title&gt;The use of discrete data in principal component analysis with applications to socio-economic indices. CPC&lt;/title&gt;&lt;/titles&gt;&lt;dates&gt;&lt;year&gt;2004&lt;/year&gt;&lt;/dates&gt;&lt;publisher&gt;MEASURE Working paper no. WP-04-85&lt;/publisher&gt;&lt;urls&gt;&lt;/urls&gt;&lt;/record&gt;&lt;/Cite&gt;&lt;/EndNote&gt;</w:instrText>
      </w:r>
      <w:r w:rsidR="005A5C06">
        <w:rPr>
          <w:rFonts w:asciiTheme="majorHAnsi" w:hAnsiTheme="majorHAnsi" w:cs="Calibri"/>
        </w:rPr>
        <w:fldChar w:fldCharType="separate"/>
      </w:r>
      <w:r w:rsidR="005A5C06" w:rsidRPr="005A5C06">
        <w:rPr>
          <w:rFonts w:asciiTheme="majorHAnsi" w:hAnsiTheme="majorHAnsi" w:cs="Calibri"/>
          <w:noProof/>
          <w:vertAlign w:val="superscript"/>
        </w:rPr>
        <w:t>3</w:t>
      </w:r>
      <w:r w:rsidR="005A5C06">
        <w:rPr>
          <w:rFonts w:asciiTheme="majorHAnsi" w:hAnsiTheme="majorHAnsi" w:cs="Calibri"/>
        </w:rPr>
        <w:fldChar w:fldCharType="end"/>
      </w:r>
      <w:r w:rsidR="005A5C06">
        <w:rPr>
          <w:rFonts w:asciiTheme="majorHAnsi" w:hAnsiTheme="majorHAnsi" w:cs="Calibri"/>
        </w:rPr>
        <w:t xml:space="preserve"> in Stata 15 SE.</w:t>
      </w:r>
    </w:p>
    <w:p w14:paraId="3F7109F6" w14:textId="77777777" w:rsidR="002D0846" w:rsidRPr="00B64FE9" w:rsidRDefault="002D0846" w:rsidP="002D0846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6E97F0D1" w14:textId="77777777" w:rsidR="004C4D31" w:rsidRDefault="00C01727" w:rsidP="004C4D31">
      <w:pPr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In order to have the index values comparable to the entire study sample, data were pooled over all four waves for calculation of the index. </w:t>
      </w:r>
      <w:r w:rsidR="009D6669">
        <w:rPr>
          <w:rFonts w:asciiTheme="majorHAnsi" w:hAnsiTheme="majorHAnsi" w:cs="Calibri"/>
        </w:rPr>
        <w:t>In order to e</w:t>
      </w:r>
      <w:r w:rsidR="004C4D31">
        <w:rPr>
          <w:rFonts w:asciiTheme="majorHAnsi" w:hAnsiTheme="majorHAnsi" w:cs="Calibri"/>
        </w:rPr>
        <w:t>nsure that each CU contributed equally to the calculation of the wealth distribution for the study area, CU-level weights were calculated based on the following formula:</w:t>
      </w:r>
    </w:p>
    <w:p w14:paraId="55FE6295" w14:textId="77777777" w:rsidR="004C4D31" w:rsidRDefault="004C4D31" w:rsidP="004C4D31">
      <w:pPr>
        <w:jc w:val="both"/>
        <w:rPr>
          <w:rFonts w:asciiTheme="majorHAnsi" w:hAnsiTheme="majorHAnsi" w:cs="Calibri"/>
        </w:rPr>
      </w:pPr>
    </w:p>
    <w:p w14:paraId="1B18D442" w14:textId="77777777" w:rsidR="004C4D31" w:rsidRPr="00B64FE9" w:rsidRDefault="004C4D31" w:rsidP="004C4D31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 w:cs="Calibri"/>
        </w:rPr>
        <w:t xml:space="preserve">(1) 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weight</m:t>
            </m:r>
          </m:e>
          <m:sub>
            <m:r>
              <w:rPr>
                <w:rFonts w:ascii="Cambria Math" w:hAnsi="Cambria Math"/>
              </w:rPr>
              <m:t>ik</m:t>
            </m:r>
          </m:sub>
        </m:sSub>
        <m: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total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32</m:t>
                </m:r>
              </m:den>
            </m:f>
          </m:e>
        </m:d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ik</m:t>
            </m:r>
          </m:sub>
        </m:sSub>
      </m:oMath>
    </w:p>
    <w:p w14:paraId="2293B18F" w14:textId="77777777" w:rsidR="004C4D31" w:rsidRDefault="004C4D31" w:rsidP="004C4D31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70F7CAA" w14:textId="77777777" w:rsidR="004C4D31" w:rsidRPr="00B64FE9" w:rsidRDefault="004C4D31" w:rsidP="004C4D31">
      <w:pPr>
        <w:jc w:val="both"/>
        <w:rPr>
          <w:rFonts w:asciiTheme="majorHAnsi" w:hAnsiTheme="majorHAnsi"/>
          <w:iCs/>
        </w:rPr>
      </w:pPr>
      <w:r w:rsidRPr="00B64FE9">
        <w:rPr>
          <w:rFonts w:asciiTheme="majorHAnsi" w:hAnsiTheme="majorHAnsi"/>
          <w:iCs/>
        </w:rPr>
        <w:t>Where i=1,….,32 indicates CU and k</w:t>
      </w:r>
      <w:r>
        <w:rPr>
          <w:rFonts w:asciiTheme="majorHAnsi" w:hAnsiTheme="majorHAnsi"/>
          <w:iCs/>
        </w:rPr>
        <w:t xml:space="preserve">=1, 2, 3 indicates </w:t>
      </w:r>
      <w:r w:rsidRPr="00B64FE9">
        <w:rPr>
          <w:rFonts w:asciiTheme="majorHAnsi" w:hAnsiTheme="majorHAnsi"/>
          <w:iCs/>
        </w:rPr>
        <w:t>6-months, 12-months, and 18-months respectively. N</w:t>
      </w:r>
      <w:r w:rsidRPr="00ED0ED2">
        <w:rPr>
          <w:rFonts w:asciiTheme="majorHAnsi" w:hAnsiTheme="majorHAnsi"/>
          <w:iCs/>
          <w:vertAlign w:val="subscript"/>
        </w:rPr>
        <w:t>total</w:t>
      </w:r>
      <w:r w:rsidRPr="00B64FE9">
        <w:rPr>
          <w:rFonts w:asciiTheme="majorHAnsi" w:hAnsiTheme="majorHAnsi"/>
          <w:iCs/>
        </w:rPr>
        <w:t xml:space="preserve"> represents total number of fevers while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ik</m:t>
            </m:r>
          </m:sub>
        </m:sSub>
      </m:oMath>
      <w:r w:rsidRPr="00B64FE9">
        <w:rPr>
          <w:rFonts w:asciiTheme="majorHAnsi" w:hAnsiTheme="majorHAnsi"/>
          <w:iCs/>
        </w:rPr>
        <w:t xml:space="preserve"> represents the number of fevers in CU i at time point k.</w:t>
      </w:r>
    </w:p>
    <w:p w14:paraId="482E44B3" w14:textId="77777777" w:rsidR="004C4D31" w:rsidRDefault="004C4D31" w:rsidP="004C4D31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320E50AF" w14:textId="77777777" w:rsidR="001969AF" w:rsidRDefault="00527D57" w:rsidP="00527D57">
      <w:pPr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The first principal component accounted for </w:t>
      </w:r>
      <w:r w:rsidR="00DE33C5">
        <w:rPr>
          <w:rFonts w:asciiTheme="majorHAnsi" w:hAnsiTheme="majorHAnsi" w:cs="Calibri"/>
        </w:rPr>
        <w:t>37.3%</w:t>
      </w:r>
      <w:r w:rsidR="00C74746">
        <w:rPr>
          <w:rFonts w:asciiTheme="majorHAnsi" w:hAnsiTheme="majorHAnsi" w:cs="Calibri"/>
        </w:rPr>
        <w:t xml:space="preserve"> of the total variance. Distribution of scores for the first principal component can be seen below in Figure 1.</w:t>
      </w:r>
    </w:p>
    <w:p w14:paraId="6A3A1241" w14:textId="77777777" w:rsidR="00F52106" w:rsidRDefault="00F52106" w:rsidP="004C4D31">
      <w:pPr>
        <w:tabs>
          <w:tab w:val="left" w:pos="2565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50DB28CB" w14:textId="77777777" w:rsidR="004C4D31" w:rsidRDefault="004C4D31" w:rsidP="004C4D31">
      <w:pPr>
        <w:pStyle w:val="EndNoteBibliography"/>
        <w:rPr>
          <w:rFonts w:asciiTheme="majorHAnsi" w:hAnsiTheme="majorHAnsi" w:cs="Calibri"/>
          <w:b/>
        </w:rPr>
        <w:sectPr w:rsidR="004C4D31" w:rsidSect="00D326B8">
          <w:pgSz w:w="12240" w:h="15840"/>
          <w:pgMar w:top="1440" w:right="1800" w:bottom="1440" w:left="1800" w:header="706" w:footer="706" w:gutter="0"/>
          <w:cols w:space="708"/>
          <w:docGrid w:linePitch="360"/>
        </w:sectPr>
      </w:pPr>
    </w:p>
    <w:p w14:paraId="02B8E425" w14:textId="77777777" w:rsidR="001969AF" w:rsidRDefault="001969AF"/>
    <w:p w14:paraId="0A14FE3E" w14:textId="77777777" w:rsidR="001969AF" w:rsidRDefault="001969AF"/>
    <w:p w14:paraId="626A36BD" w14:textId="77777777" w:rsidR="005A5C06" w:rsidRPr="005A5C06" w:rsidRDefault="001969AF" w:rsidP="005A5C06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5A5C06" w:rsidRPr="005A5C06">
        <w:t>1</w:t>
      </w:r>
      <w:r w:rsidR="005A5C06" w:rsidRPr="005A5C06">
        <w:tab/>
        <w:t>Rutsein, S. O. &amp; Johnson, K. The DHS Wealth Index. (Calverton, Maryland, USA, 2004).</w:t>
      </w:r>
    </w:p>
    <w:p w14:paraId="1FC2D38F" w14:textId="77777777" w:rsidR="005A5C06" w:rsidRPr="005A5C06" w:rsidRDefault="005A5C06" w:rsidP="005A5C06">
      <w:pPr>
        <w:pStyle w:val="EndNoteBibliography"/>
        <w:ind w:left="720" w:hanging="720"/>
      </w:pPr>
      <w:r w:rsidRPr="005A5C06">
        <w:t>2</w:t>
      </w:r>
      <w:r w:rsidRPr="005A5C06">
        <w:tab/>
        <w:t xml:space="preserve">Kolenikov, S. &amp; Angeles, G. Socioeconomic Status Measurement with Discrete Proxy Variables: Is Principal Component Analysis a Reliable Answer? </w:t>
      </w:r>
      <w:r w:rsidRPr="005A5C06">
        <w:rPr>
          <w:i/>
        </w:rPr>
        <w:t>Review of Income and Wealth</w:t>
      </w:r>
      <w:r w:rsidRPr="005A5C06">
        <w:t xml:space="preserve"> </w:t>
      </w:r>
      <w:r w:rsidRPr="005A5C06">
        <w:rPr>
          <w:b/>
        </w:rPr>
        <w:t>55</w:t>
      </w:r>
      <w:r w:rsidRPr="005A5C06">
        <w:t>, 128-165, doi:10.1111/j.1475-4991.2008.00309.x (2009).</w:t>
      </w:r>
    </w:p>
    <w:p w14:paraId="103AD684" w14:textId="77777777" w:rsidR="005A5C06" w:rsidRPr="005A5C06" w:rsidRDefault="005A5C06" w:rsidP="005A5C06">
      <w:pPr>
        <w:pStyle w:val="EndNoteBibliography"/>
        <w:ind w:left="720" w:hanging="720"/>
      </w:pPr>
      <w:r w:rsidRPr="005A5C06">
        <w:t>3</w:t>
      </w:r>
      <w:r w:rsidRPr="005A5C06">
        <w:tab/>
        <w:t>Kolenikov, S. &amp; Ángeles, G. The use of discrete data in principal component analysis with applications to socio-economic indices. CPC. (MEASURE Working paper no. WP-04-85, 2004).</w:t>
      </w:r>
    </w:p>
    <w:p w14:paraId="3C4436F5" w14:textId="77777777" w:rsidR="000D4C9A" w:rsidRDefault="001969AF">
      <w:r>
        <w:fldChar w:fldCharType="end"/>
      </w:r>
    </w:p>
    <w:p w14:paraId="1FFD26E7" w14:textId="77777777" w:rsidR="00140110" w:rsidRDefault="00140110"/>
    <w:p w14:paraId="4DCA33D9" w14:textId="77777777" w:rsidR="00140110" w:rsidRDefault="00140110"/>
    <w:p w14:paraId="6133F40E" w14:textId="77777777" w:rsidR="00140110" w:rsidRDefault="00140110"/>
    <w:p w14:paraId="2126B054" w14:textId="77777777" w:rsidR="00140110" w:rsidRDefault="00140110"/>
    <w:p w14:paraId="644747ED" w14:textId="77777777" w:rsidR="00140110" w:rsidRDefault="00140110"/>
    <w:p w14:paraId="1D9F3EE5" w14:textId="77777777" w:rsidR="00140110" w:rsidRDefault="00140110"/>
    <w:p w14:paraId="013C8AF9" w14:textId="77777777" w:rsidR="00140110" w:rsidRDefault="00140110"/>
    <w:p w14:paraId="0AAC1347" w14:textId="77777777" w:rsidR="00140110" w:rsidRDefault="00140110"/>
    <w:p w14:paraId="066C53B4" w14:textId="77777777" w:rsidR="00140110" w:rsidRDefault="00140110"/>
    <w:p w14:paraId="04D3D542" w14:textId="77777777" w:rsidR="00140110" w:rsidRDefault="00140110"/>
    <w:p w14:paraId="4DA8EAED" w14:textId="77777777" w:rsidR="00140110" w:rsidRDefault="00140110"/>
    <w:p w14:paraId="64497327" w14:textId="77777777" w:rsidR="00140110" w:rsidRDefault="00140110"/>
    <w:p w14:paraId="70D39AA6" w14:textId="77777777" w:rsidR="00140110" w:rsidRDefault="00140110"/>
    <w:p w14:paraId="00E0B956" w14:textId="77777777" w:rsidR="00140110" w:rsidRDefault="00140110"/>
    <w:p w14:paraId="4832C26D" w14:textId="77777777" w:rsidR="00140110" w:rsidRDefault="00140110"/>
    <w:p w14:paraId="5E59B38D" w14:textId="77777777" w:rsidR="00140110" w:rsidRDefault="00140110"/>
    <w:p w14:paraId="324A195E" w14:textId="77777777" w:rsidR="00140110" w:rsidRDefault="00140110"/>
    <w:p w14:paraId="5FBBE943" w14:textId="77777777" w:rsidR="00140110" w:rsidRDefault="00140110"/>
    <w:p w14:paraId="46F09F6F" w14:textId="77777777" w:rsidR="00140110" w:rsidRDefault="00140110"/>
    <w:p w14:paraId="182134FA" w14:textId="77777777" w:rsidR="00140110" w:rsidRDefault="00140110"/>
    <w:p w14:paraId="4CFA1184" w14:textId="77777777" w:rsidR="00140110" w:rsidRDefault="00140110"/>
    <w:p w14:paraId="307EE5B9" w14:textId="77777777" w:rsidR="00140110" w:rsidRDefault="00140110"/>
    <w:p w14:paraId="0F3FABD9" w14:textId="77777777" w:rsidR="00140110" w:rsidRDefault="00140110"/>
    <w:p w14:paraId="18B05BCE" w14:textId="77777777" w:rsidR="00140110" w:rsidRDefault="00140110"/>
    <w:p w14:paraId="40BEBB9D" w14:textId="77777777" w:rsidR="00140110" w:rsidRDefault="00140110"/>
    <w:p w14:paraId="70303E57" w14:textId="77777777" w:rsidR="00140110" w:rsidRDefault="00140110"/>
    <w:p w14:paraId="05D47450" w14:textId="77777777" w:rsidR="00140110" w:rsidRDefault="00140110"/>
    <w:p w14:paraId="427ED955" w14:textId="77777777" w:rsidR="00140110" w:rsidRDefault="00140110"/>
    <w:p w14:paraId="17647B88" w14:textId="77777777" w:rsidR="00140110" w:rsidRDefault="00140110"/>
    <w:p w14:paraId="04E3C83B" w14:textId="77777777" w:rsidR="00140110" w:rsidRDefault="00140110"/>
    <w:p w14:paraId="31853F46" w14:textId="77777777" w:rsidR="00140110" w:rsidRDefault="00140110"/>
    <w:p w14:paraId="5FD930FA" w14:textId="77777777" w:rsidR="00140110" w:rsidRDefault="00140110"/>
    <w:p w14:paraId="2A38CAC7" w14:textId="77777777" w:rsidR="00140110" w:rsidRDefault="00140110"/>
    <w:p w14:paraId="5FC7F39B" w14:textId="77777777" w:rsidR="00140110" w:rsidRDefault="00140110"/>
    <w:p w14:paraId="14D96DCF" w14:textId="77777777" w:rsidR="00140110" w:rsidRDefault="00140110"/>
    <w:p w14:paraId="74565246" w14:textId="77777777" w:rsidR="00140110" w:rsidRPr="00F52106" w:rsidRDefault="00140110" w:rsidP="00140110">
      <w:pPr>
        <w:tabs>
          <w:tab w:val="left" w:pos="2565"/>
        </w:tabs>
        <w:autoSpaceDE w:val="0"/>
        <w:autoSpaceDN w:val="0"/>
        <w:adjustRightInd w:val="0"/>
        <w:ind w:hanging="810"/>
        <w:rPr>
          <w:rFonts w:asciiTheme="majorHAnsi" w:hAnsiTheme="majorHAnsi" w:cs="Calibri"/>
          <w:b/>
        </w:rPr>
      </w:pPr>
      <w:r w:rsidRPr="00F52106">
        <w:rPr>
          <w:rFonts w:asciiTheme="majorHAnsi" w:hAnsiTheme="majorHAnsi" w:cs="Calibri"/>
          <w:b/>
        </w:rPr>
        <w:lastRenderedPageBreak/>
        <w:t xml:space="preserve">Supplementary </w:t>
      </w:r>
      <w:r w:rsidRPr="00D326B8">
        <w:rPr>
          <w:rFonts w:asciiTheme="majorHAnsi" w:hAnsiTheme="majorHAnsi" w:cs="Calibri"/>
        </w:rPr>
        <w:t>Table 1. Variables Included in Construction of Wealth Index</w:t>
      </w:r>
      <w:r w:rsidRPr="00D326B8">
        <w:rPr>
          <w:rFonts w:asciiTheme="majorHAnsi" w:hAnsiTheme="majorHAnsi" w:cs="Calibri"/>
          <w:vertAlign w:val="superscript"/>
        </w:rPr>
        <w:t>1</w:t>
      </w:r>
      <w:r w:rsidRPr="00D326B8">
        <w:rPr>
          <w:rFonts w:asciiTheme="majorHAnsi" w:hAnsiTheme="majorHAnsi" w:cs="Calibri"/>
        </w:rPr>
        <w:tab/>
      </w:r>
    </w:p>
    <w:tbl>
      <w:tblPr>
        <w:tblW w:w="9990" w:type="dxa"/>
        <w:tblInd w:w="-810" w:type="dxa"/>
        <w:tblLook w:val="04A0" w:firstRow="1" w:lastRow="0" w:firstColumn="1" w:lastColumn="0" w:noHBand="0" w:noVBand="1"/>
      </w:tblPr>
      <w:tblGrid>
        <w:gridCol w:w="2790"/>
        <w:gridCol w:w="2520"/>
        <w:gridCol w:w="4680"/>
      </w:tblGrid>
      <w:tr w:rsidR="00140110" w:rsidRPr="00F52106" w14:paraId="2B5D26AC" w14:textId="77777777" w:rsidTr="00731567">
        <w:trPr>
          <w:trHeight w:val="330"/>
        </w:trPr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9F2A7C" w14:textId="77777777" w:rsidR="00140110" w:rsidRPr="00F52106" w:rsidRDefault="00140110" w:rsidP="00731567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  <w:lang w:val="en-US" w:eastAsia="en-US"/>
              </w:rPr>
              <w:t>Questions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2DB5FC" w14:textId="77777777" w:rsidR="00140110" w:rsidRPr="00F52106" w:rsidRDefault="00140110" w:rsidP="00731567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  <w:lang w:val="en-US" w:eastAsia="en-US"/>
              </w:rPr>
              <w:t>Full list of responses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AB3D58" w14:textId="77777777" w:rsidR="00140110" w:rsidRPr="00F52106" w:rsidRDefault="00140110" w:rsidP="00731567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  <w:lang w:val="en-US" w:eastAsia="en-US"/>
              </w:rPr>
              <w:t>Reduced Categories</w:t>
            </w:r>
            <w:r w:rsidRPr="00F52106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  <w:vertAlign w:val="superscript"/>
                <w:lang w:val="en-US" w:eastAsia="en-US"/>
              </w:rPr>
              <w:t>2</w:t>
            </w:r>
          </w:p>
        </w:tc>
      </w:tr>
      <w:tr w:rsidR="00140110" w:rsidRPr="00F52106" w14:paraId="17A17563" w14:textId="77777777" w:rsidTr="00731567">
        <w:trPr>
          <w:trHeight w:val="162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FA155D3" w14:textId="77777777" w:rsidR="00140110" w:rsidRPr="00F52106" w:rsidRDefault="00140110" w:rsidP="00731567">
            <w:pPr>
              <w:rPr>
                <w:rFonts w:asciiTheme="majorHAnsi" w:hAnsiTheme="majorHAnsi"/>
                <w:b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b/>
                <w:sz w:val="20"/>
              </w:rPr>
              <w:t>Main source of drinking water for your household:</w:t>
            </w:r>
            <w:r w:rsidRPr="00F52106">
              <w:rPr>
                <w:rFonts w:asciiTheme="majorHAnsi" w:hAnsiTheme="majorHAnsi"/>
                <w:b/>
                <w:color w:val="000000"/>
                <w:sz w:val="20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B66421D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(1)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Piped water/Public Tap/borehole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(2)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Unprotected well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(3)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Protected well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(4)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Protected Spring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(5)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Unprotected Spring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(6)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Rain water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(7)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River water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(8)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Other:_______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0330CB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(1)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u w:val="single"/>
                <w:lang w:val="en-US" w:eastAsia="en-US"/>
              </w:rPr>
              <w:t>Unprotected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: Unprotected well, unprotected spring, river water </w:t>
            </w:r>
          </w:p>
          <w:p w14:paraId="7E73C8EA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(2)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u w:val="single"/>
                <w:lang w:val="en-US" w:eastAsia="en-US"/>
              </w:rPr>
              <w:t>Protected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: Piped water/Public Tap/borehole, protected well, protected spring, rain water, purchased water (other)</w:t>
            </w:r>
          </w:p>
          <w:p w14:paraId="3AEFABE0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</w:p>
        </w:tc>
      </w:tr>
      <w:tr w:rsidR="00140110" w:rsidRPr="00F52106" w14:paraId="41886605" w14:textId="77777777" w:rsidTr="00731567">
        <w:trPr>
          <w:trHeight w:val="28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821159B" w14:textId="77777777" w:rsidR="00140110" w:rsidRPr="00F52106" w:rsidRDefault="00140110" w:rsidP="00731567">
            <w:pPr>
              <w:rPr>
                <w:rFonts w:asciiTheme="majorHAnsi" w:hAnsiTheme="majorHAnsi"/>
                <w:b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b/>
                <w:color w:val="000000"/>
                <w:sz w:val="20"/>
                <w:szCs w:val="22"/>
                <w:lang w:val="en-US" w:eastAsia="en-US"/>
              </w:rPr>
              <w:t xml:space="preserve">Does your household have the following items: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846AF75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AC5CE4E" w14:textId="77777777" w:rsidR="00140110" w:rsidRPr="00F52106" w:rsidRDefault="00140110" w:rsidP="00731567">
            <w:pPr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</w:p>
        </w:tc>
      </w:tr>
      <w:tr w:rsidR="00140110" w:rsidRPr="00F52106" w14:paraId="5BCADD6B" w14:textId="77777777" w:rsidTr="00731567">
        <w:trPr>
          <w:trHeight w:val="28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8BEA602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    (1) Electricity?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4F36C8D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Yes/No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9981E2F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Yes/No</w:t>
            </w:r>
          </w:p>
        </w:tc>
      </w:tr>
      <w:tr w:rsidR="00140110" w:rsidRPr="00F52106" w14:paraId="56908A5C" w14:textId="77777777" w:rsidTr="00731567">
        <w:trPr>
          <w:trHeight w:val="28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09D44E4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    (2) A television?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C688B55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Yes/No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1B63809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Yes/No</w:t>
            </w:r>
          </w:p>
        </w:tc>
      </w:tr>
      <w:tr w:rsidR="00140110" w:rsidRPr="00F52106" w14:paraId="4385D1DC" w14:textId="77777777" w:rsidTr="00731567">
        <w:trPr>
          <w:trHeight w:val="28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218C424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    (3) A refrigerator?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B294EF5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Yes/No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AC6B11F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Eliminated: lack of variation</w:t>
            </w:r>
          </w:p>
        </w:tc>
      </w:tr>
      <w:tr w:rsidR="00140110" w:rsidRPr="00F52106" w14:paraId="42443415" w14:textId="77777777" w:rsidTr="00731567">
        <w:trPr>
          <w:trHeight w:val="28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FD0CD25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    (4) A radio?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85AF7AF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Yes/No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4DCB623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Yes/No</w:t>
            </w:r>
          </w:p>
        </w:tc>
      </w:tr>
      <w:tr w:rsidR="00140110" w:rsidRPr="00F52106" w14:paraId="39FC3787" w14:textId="77777777" w:rsidTr="00731567">
        <w:trPr>
          <w:trHeight w:val="28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D8EDB86" w14:textId="77777777" w:rsidR="00140110" w:rsidRPr="00F52106" w:rsidRDefault="00140110" w:rsidP="00731567">
            <w:pPr>
              <w:ind w:left="162" w:hanging="162"/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    (5) A mobile phone (at least one member of the household has)?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C8891F9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Yes/No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E54E5AF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Yes/No</w:t>
            </w:r>
          </w:p>
        </w:tc>
      </w:tr>
      <w:tr w:rsidR="00140110" w:rsidRPr="00F52106" w14:paraId="34FE1BC5" w14:textId="77777777" w:rsidTr="00731567">
        <w:trPr>
          <w:trHeight w:val="28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BEAFE6D" w14:textId="77777777" w:rsidR="00140110" w:rsidRPr="00F52106" w:rsidRDefault="00140110" w:rsidP="00731567">
            <w:pPr>
              <w:ind w:left="162" w:hanging="162"/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    (6) A motorcycle (at least one member of the household has)?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12F60E9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Yes/No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1A57ECC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Yes/No</w:t>
            </w:r>
          </w:p>
        </w:tc>
      </w:tr>
      <w:tr w:rsidR="00140110" w:rsidRPr="00F52106" w14:paraId="7FDAD5DC" w14:textId="77777777" w:rsidTr="00731567">
        <w:trPr>
          <w:trHeight w:val="28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37C2F3C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    (7) A car/truck?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E2CBC08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Yes/No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5365154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Eliminated: lack of variation</w:t>
            </w:r>
          </w:p>
        </w:tc>
      </w:tr>
      <w:tr w:rsidR="00140110" w:rsidRPr="00F52106" w14:paraId="37AB55E0" w14:textId="77777777" w:rsidTr="00731567">
        <w:trPr>
          <w:trHeight w:val="28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94B4AAB" w14:textId="77777777" w:rsidR="00140110" w:rsidRPr="00F52106" w:rsidRDefault="00140110" w:rsidP="00731567">
            <w:pPr>
              <w:ind w:left="162" w:hanging="162"/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    (8) A bank account (at least one member of the household has)?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87C2B69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Yes/No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E9A11D8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Yes/No</w:t>
            </w:r>
          </w:p>
        </w:tc>
      </w:tr>
      <w:tr w:rsidR="00140110" w:rsidRPr="00F52106" w14:paraId="6CF77F54" w14:textId="77777777" w:rsidTr="00731567">
        <w:trPr>
          <w:trHeight w:val="5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30A3403" w14:textId="77777777" w:rsidR="00140110" w:rsidRPr="00F52106" w:rsidRDefault="00140110" w:rsidP="00731567">
            <w:pPr>
              <w:rPr>
                <w:rFonts w:asciiTheme="majorHAnsi" w:hAnsiTheme="majorHAnsi"/>
                <w:b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b/>
                <w:color w:val="000000"/>
                <w:sz w:val="20"/>
                <w:szCs w:val="22"/>
                <w:lang w:val="en-US" w:eastAsia="en-US"/>
              </w:rPr>
              <w:t>How many of the following livestock does your household have?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97A356C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060645F" w14:textId="77777777" w:rsidR="00140110" w:rsidRPr="00F52106" w:rsidRDefault="00140110" w:rsidP="00731567">
            <w:pPr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</w:p>
        </w:tc>
      </w:tr>
      <w:tr w:rsidR="00140110" w:rsidRPr="00F52106" w14:paraId="26D79B26" w14:textId="77777777" w:rsidTr="00731567">
        <w:trPr>
          <w:trHeight w:val="28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DDCAC27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    1) Cows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5C55113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Integer number of cows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C417F3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Any cows: Yes/No</w:t>
            </w:r>
          </w:p>
        </w:tc>
      </w:tr>
      <w:tr w:rsidR="00140110" w:rsidRPr="00F52106" w14:paraId="7AD5B1B4" w14:textId="77777777" w:rsidTr="00731567">
        <w:trPr>
          <w:trHeight w:val="28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867BA6D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    2) Sheep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E67B538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Integer number of sheep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A02C70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Any sheep: Yes/No</w:t>
            </w:r>
          </w:p>
        </w:tc>
      </w:tr>
      <w:tr w:rsidR="00140110" w:rsidRPr="00F52106" w14:paraId="2A500457" w14:textId="77777777" w:rsidTr="00731567">
        <w:trPr>
          <w:trHeight w:val="28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30F51AE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    3) Goats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DBD73D4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Integer number of goats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1149FB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Any goats: Yes/No</w:t>
            </w:r>
          </w:p>
        </w:tc>
      </w:tr>
      <w:tr w:rsidR="00140110" w:rsidRPr="00F52106" w14:paraId="4D84DB8E" w14:textId="77777777" w:rsidTr="00731567">
        <w:trPr>
          <w:trHeight w:val="28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AC3557F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    4) Pigs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2B3C574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Integer number of pigs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AA9E3A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Eliminated: lack of variation</w:t>
            </w:r>
          </w:p>
        </w:tc>
      </w:tr>
      <w:tr w:rsidR="00140110" w:rsidRPr="00F52106" w14:paraId="107EF30F" w14:textId="77777777" w:rsidTr="00731567">
        <w:trPr>
          <w:trHeight w:val="189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CE7B12C" w14:textId="77777777" w:rsidR="00140110" w:rsidRPr="00F52106" w:rsidRDefault="00140110" w:rsidP="00731567">
            <w:pPr>
              <w:rPr>
                <w:rFonts w:asciiTheme="majorHAnsi" w:hAnsiTheme="majorHAnsi"/>
                <w:b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b/>
                <w:color w:val="000000"/>
                <w:sz w:val="20"/>
                <w:szCs w:val="22"/>
                <w:lang w:val="en-US" w:eastAsia="en-US"/>
              </w:rPr>
              <w:t>What kind of toilet does your household have?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F84D5FA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(1)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Flush or pour flush toilet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(2)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VIP / Ventilated improved pit latrine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(3)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Pit latrine with slab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(4)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Pit latrine without slab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(5)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Composting toilet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(6)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Bucket toilet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(7)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No facility/bush/field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(8)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Other (Please specify): 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611AE5E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 (1) Non-improved Latrine: Pit latrine without slab, bucket toilet, No facility/bush/field, Other</w:t>
            </w:r>
          </w:p>
          <w:p w14:paraId="6F5AF7C1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(2) Improved Latrine: Flush or pour flush toilet, VIP / Ventilated improved pit latrine, Pit latrine with slab, composting toilet</w:t>
            </w:r>
          </w:p>
          <w:p w14:paraId="0FDF9C61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</w:p>
        </w:tc>
      </w:tr>
      <w:tr w:rsidR="00140110" w:rsidRPr="00F52106" w14:paraId="7CE1175F" w14:textId="77777777" w:rsidTr="00731567">
        <w:trPr>
          <w:trHeight w:val="1053"/>
        </w:trPr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13F344D" w14:textId="77777777" w:rsidR="00140110" w:rsidRPr="00F52106" w:rsidRDefault="00140110" w:rsidP="00731567">
            <w:pPr>
              <w:rPr>
                <w:rFonts w:asciiTheme="majorHAnsi" w:hAnsiTheme="majorHAnsi"/>
                <w:b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b/>
                <w:color w:val="000000"/>
                <w:sz w:val="20"/>
                <w:szCs w:val="22"/>
                <w:lang w:val="en-US" w:eastAsia="en-US"/>
              </w:rPr>
              <w:t xml:space="preserve">What is the </w:t>
            </w:r>
            <w:r w:rsidRPr="00F52106">
              <w:rPr>
                <w:rFonts w:asciiTheme="majorHAnsi" w:hAnsiTheme="majorHAnsi"/>
                <w:b/>
                <w:color w:val="000000"/>
                <w:sz w:val="20"/>
                <w:szCs w:val="22"/>
                <w:u w:val="single"/>
                <w:lang w:val="en-US" w:eastAsia="en-US"/>
              </w:rPr>
              <w:t>main</w:t>
            </w:r>
            <w:r w:rsidRPr="00F52106">
              <w:rPr>
                <w:rFonts w:asciiTheme="majorHAnsi" w:hAnsiTheme="majorHAnsi"/>
                <w:b/>
                <w:color w:val="000000"/>
                <w:sz w:val="20"/>
                <w:szCs w:val="22"/>
                <w:lang w:val="en-US" w:eastAsia="en-US"/>
              </w:rPr>
              <w:t xml:space="preserve"> material of the floor in your house?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0C67479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(1)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Earthen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(2)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Cement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(3)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Floor Tiles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(4)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Wood planks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(5)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Polished wood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(6) Other (please specify) </w:t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lastRenderedPageBreak/>
              <w:t>_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_______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86EFB3A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lastRenderedPageBreak/>
              <w:t xml:space="preserve">(1) Earthen: Earthen </w:t>
            </w:r>
          </w:p>
          <w:p w14:paraId="54A8E5E4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(2) Hard Surface: Cement, Floor tiles, wood planks, polished wood, other</w:t>
            </w:r>
          </w:p>
          <w:p w14:paraId="6E88458D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</w:p>
        </w:tc>
      </w:tr>
      <w:tr w:rsidR="00140110" w:rsidRPr="00F52106" w14:paraId="6C94EA50" w14:textId="77777777" w:rsidTr="00731567">
        <w:trPr>
          <w:trHeight w:val="180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24AA01B" w14:textId="77777777" w:rsidR="00140110" w:rsidRPr="00F52106" w:rsidRDefault="00140110" w:rsidP="00731567">
            <w:pPr>
              <w:rPr>
                <w:rFonts w:asciiTheme="majorHAnsi" w:hAnsiTheme="majorHAnsi"/>
                <w:b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b/>
                <w:color w:val="000000"/>
                <w:sz w:val="20"/>
                <w:szCs w:val="22"/>
                <w:lang w:val="en-US" w:eastAsia="en-US"/>
              </w:rPr>
              <w:lastRenderedPageBreak/>
              <w:t xml:space="preserve">What is the </w:t>
            </w:r>
            <w:r w:rsidRPr="00F52106">
              <w:rPr>
                <w:rFonts w:asciiTheme="majorHAnsi" w:hAnsiTheme="majorHAnsi"/>
                <w:b/>
                <w:color w:val="000000"/>
                <w:sz w:val="20"/>
                <w:szCs w:val="22"/>
                <w:u w:val="single"/>
                <w:lang w:val="en-US" w:eastAsia="en-US"/>
              </w:rPr>
              <w:t>main</w:t>
            </w:r>
            <w:r w:rsidRPr="00F52106">
              <w:rPr>
                <w:rFonts w:asciiTheme="majorHAnsi" w:hAnsiTheme="majorHAnsi"/>
                <w:b/>
                <w:color w:val="000000"/>
                <w:sz w:val="20"/>
                <w:szCs w:val="22"/>
                <w:lang w:val="en-US" w:eastAsia="en-US"/>
              </w:rPr>
              <w:t xml:space="preserve"> material of the walls in your house?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63ED0ABE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(1)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Stone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(2)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Brick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(3)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Timber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(4)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Iron Sheet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(5)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Mud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(6)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Wood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(7)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Cement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br/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(8) </w:t>
            </w: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Other (please specify)_________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7C1FA2F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 xml:space="preserve">(1) Porous: timber, mud, wood </w:t>
            </w:r>
          </w:p>
          <w:p w14:paraId="07A7AAC7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F52106"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(2) Non-porous: stone, brick, iron sheet, cement</w:t>
            </w:r>
          </w:p>
          <w:p w14:paraId="464F55A1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</w:p>
        </w:tc>
      </w:tr>
      <w:tr w:rsidR="00140110" w:rsidRPr="00F52106" w14:paraId="6B50801B" w14:textId="77777777" w:rsidTr="00731567">
        <w:trPr>
          <w:trHeight w:val="288"/>
        </w:trPr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EDDD53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D326B8">
              <w:rPr>
                <w:rFonts w:asciiTheme="majorHAnsi" w:hAnsiTheme="majorHAnsi"/>
                <w:color w:val="000000"/>
                <w:sz w:val="20"/>
                <w:szCs w:val="22"/>
                <w:vertAlign w:val="superscript"/>
                <w:lang w:val="en-US" w:eastAsia="en-US"/>
              </w:rPr>
              <w:t>1</w:t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Index based on DHS Wealth Index questions and methods with some adjustments for binary variable distribution</w:t>
            </w:r>
          </w:p>
        </w:tc>
      </w:tr>
      <w:tr w:rsidR="00140110" w:rsidRPr="00F52106" w14:paraId="28CF4002" w14:textId="77777777" w:rsidTr="00731567">
        <w:trPr>
          <w:trHeight w:val="288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4F8C8A" w14:textId="77777777" w:rsidR="00140110" w:rsidRPr="00F52106" w:rsidRDefault="00140110" w:rsidP="00731567">
            <w:pP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</w:pPr>
            <w:r w:rsidRPr="00D326B8">
              <w:rPr>
                <w:rFonts w:asciiTheme="majorHAnsi" w:hAnsiTheme="majorHAnsi"/>
                <w:color w:val="000000"/>
                <w:sz w:val="20"/>
                <w:szCs w:val="22"/>
                <w:vertAlign w:val="superscript"/>
                <w:lang w:val="en-US" w:eastAsia="en-US"/>
              </w:rPr>
              <w:t>2</w:t>
            </w:r>
            <w:r>
              <w:rPr>
                <w:rFonts w:asciiTheme="majorHAnsi" w:hAnsiTheme="majorHAnsi"/>
                <w:color w:val="000000"/>
                <w:sz w:val="20"/>
                <w:szCs w:val="22"/>
                <w:lang w:val="en-US" w:eastAsia="en-US"/>
              </w:rPr>
              <w:t>Variables listed in order from lowest SES to highest SES</w:t>
            </w:r>
          </w:p>
        </w:tc>
      </w:tr>
    </w:tbl>
    <w:p w14:paraId="31D75735" w14:textId="77777777" w:rsidR="00140110" w:rsidRDefault="00140110"/>
    <w:p w14:paraId="2D3954DC" w14:textId="77777777" w:rsidR="00140110" w:rsidRDefault="00140110"/>
    <w:p w14:paraId="0B795624" w14:textId="77777777" w:rsidR="00140110" w:rsidRDefault="00140110"/>
    <w:p w14:paraId="48EA4ADD" w14:textId="77777777" w:rsidR="00140110" w:rsidRDefault="00DE33C5">
      <w:r w:rsidRPr="00DE33C5">
        <w:rPr>
          <w:noProof/>
          <w:lang w:val="en-US" w:eastAsia="en-US"/>
        </w:rPr>
        <w:drawing>
          <wp:inline distT="0" distB="0" distL="0" distR="0" wp14:anchorId="3EC2D16C" wp14:editId="52E8FCBE">
            <wp:extent cx="5943600" cy="4326334"/>
            <wp:effectExtent l="0" t="0" r="0" b="0"/>
            <wp:docPr id="2" name="Picture 2" descr="P:\Wendy\R01Coupon\Aim2\General\Output\R01_Coupon_Aim_2_Pooled_Wealth_Index_Histogram_20180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Wendy\R01Coupon\Aim2\General\Output\R01_Coupon_Aim_2_Pooled_Wealth_Index_Histogram_201804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6EB6E" w14:textId="77777777" w:rsidR="00140110" w:rsidRDefault="00140110">
      <w:r w:rsidRPr="00140110">
        <w:rPr>
          <w:b/>
        </w:rPr>
        <w:t>Supplemental Figure 1.</w:t>
      </w:r>
      <w:r>
        <w:t xml:space="preserve"> Distribution of weighted wealth index scores </w:t>
      </w:r>
      <w:r w:rsidR="00DE33C5">
        <w:t>over baseline, 6-, 12-, and 18-months</w:t>
      </w:r>
    </w:p>
    <w:sectPr w:rsidR="00140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Scientific Report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0s5zpx25rtv9hepzvopd0razffdxvftt5a5&quot;&gt;All References-Saved&lt;record-ids&gt;&lt;item&gt;334&lt;/item&gt;&lt;item&gt;697&lt;/item&gt;&lt;item&gt;698&lt;/item&gt;&lt;/record-ids&gt;&lt;/item&gt;&lt;/Libraries&gt;"/>
  </w:docVars>
  <w:rsids>
    <w:rsidRoot w:val="004C4D31"/>
    <w:rsid w:val="000802AA"/>
    <w:rsid w:val="00140110"/>
    <w:rsid w:val="001969AF"/>
    <w:rsid w:val="00291014"/>
    <w:rsid w:val="002D0846"/>
    <w:rsid w:val="00336A1E"/>
    <w:rsid w:val="00381CE6"/>
    <w:rsid w:val="00415452"/>
    <w:rsid w:val="004C4D31"/>
    <w:rsid w:val="004F09C1"/>
    <w:rsid w:val="00514FDB"/>
    <w:rsid w:val="00527D57"/>
    <w:rsid w:val="00570406"/>
    <w:rsid w:val="005A5C06"/>
    <w:rsid w:val="00685A12"/>
    <w:rsid w:val="006B4D50"/>
    <w:rsid w:val="0070223D"/>
    <w:rsid w:val="007D18A1"/>
    <w:rsid w:val="009D6669"/>
    <w:rsid w:val="00BB5840"/>
    <w:rsid w:val="00BD2B22"/>
    <w:rsid w:val="00C01727"/>
    <w:rsid w:val="00C74746"/>
    <w:rsid w:val="00D326B8"/>
    <w:rsid w:val="00DE33C5"/>
    <w:rsid w:val="00F52106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19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4C4D3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C4D31"/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1969AF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69AF"/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E6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4C4D3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C4D31"/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1969AF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69AF"/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E6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1169</Words>
  <Characters>6669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Platt</dc:creator>
  <cp:keywords/>
  <dc:description/>
  <cp:lastModifiedBy>Wendy Prudhomme O'Meara</cp:lastModifiedBy>
  <cp:revision>5</cp:revision>
  <dcterms:created xsi:type="dcterms:W3CDTF">2018-04-23T12:51:00Z</dcterms:created>
  <dcterms:modified xsi:type="dcterms:W3CDTF">2018-05-29T02:40:00Z</dcterms:modified>
</cp:coreProperties>
</file>