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4" w:rsidRPr="00F415A8" w:rsidRDefault="00521864" w:rsidP="00521864">
      <w:pPr>
        <w:spacing w:after="0" w:line="240" w:lineRule="auto"/>
        <w:ind w:firstLine="284"/>
        <w:rPr>
          <w:sz w:val="20"/>
          <w:szCs w:val="20"/>
          <w:lang w:val="en-GB"/>
        </w:rPr>
      </w:pPr>
    </w:p>
    <w:p w:rsidR="00521864" w:rsidRPr="00AC3327" w:rsidRDefault="005E46FB" w:rsidP="00521864">
      <w:pPr>
        <w:spacing w:after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S6</w:t>
      </w:r>
      <w:r w:rsidR="00224377">
        <w:rPr>
          <w:b/>
          <w:sz w:val="24"/>
          <w:szCs w:val="24"/>
          <w:lang w:val="en-GB"/>
        </w:rPr>
        <w:t xml:space="preserve"> </w:t>
      </w:r>
      <w:bookmarkStart w:id="0" w:name="_GoBack"/>
      <w:bookmarkEnd w:id="0"/>
      <w:r w:rsidR="00521864" w:rsidRPr="00AC3327">
        <w:rPr>
          <w:b/>
          <w:sz w:val="24"/>
          <w:szCs w:val="24"/>
          <w:lang w:val="en-GB"/>
        </w:rPr>
        <w:t xml:space="preserve">Table. </w:t>
      </w:r>
      <w:proofErr w:type="gramStart"/>
      <w:r w:rsidR="00521864" w:rsidRPr="00AC3327">
        <w:rPr>
          <w:b/>
          <w:sz w:val="24"/>
          <w:szCs w:val="24"/>
          <w:lang w:val="en-GB"/>
        </w:rPr>
        <w:t>Role of education, behavio</w:t>
      </w:r>
      <w:r w:rsidR="00521864">
        <w:rPr>
          <w:b/>
          <w:sz w:val="24"/>
          <w:szCs w:val="24"/>
          <w:lang w:val="en-GB"/>
        </w:rPr>
        <w:t>u</w:t>
      </w:r>
      <w:r w:rsidR="00521864" w:rsidRPr="00AC3327">
        <w:rPr>
          <w:b/>
          <w:sz w:val="24"/>
          <w:szCs w:val="24"/>
          <w:lang w:val="en-GB"/>
        </w:rPr>
        <w:t>r</w:t>
      </w:r>
      <w:r w:rsidR="00224377">
        <w:rPr>
          <w:b/>
          <w:sz w:val="24"/>
          <w:szCs w:val="24"/>
          <w:lang w:val="en-GB"/>
        </w:rPr>
        <w:t>al factors</w:t>
      </w:r>
      <w:r w:rsidR="00521864" w:rsidRPr="00AC3327">
        <w:rPr>
          <w:b/>
          <w:sz w:val="24"/>
          <w:szCs w:val="24"/>
          <w:lang w:val="en-GB"/>
        </w:rPr>
        <w:t>, and clinical profile in transitions from a healthy state to 1</w:t>
      </w:r>
      <w:r w:rsidR="00521864" w:rsidRPr="00AC3327">
        <w:rPr>
          <w:b/>
          <w:sz w:val="24"/>
          <w:szCs w:val="24"/>
          <w:vertAlign w:val="superscript"/>
          <w:lang w:val="en-GB"/>
        </w:rPr>
        <w:t>st</w:t>
      </w:r>
      <w:r w:rsidR="00521864" w:rsidRPr="00AC3327">
        <w:rPr>
          <w:b/>
          <w:sz w:val="24"/>
          <w:szCs w:val="24"/>
          <w:lang w:val="en-GB"/>
        </w:rPr>
        <w:t xml:space="preserve"> cardiometabolic disease, </w:t>
      </w:r>
      <w:r w:rsidR="005862A6">
        <w:rPr>
          <w:b/>
          <w:sz w:val="24"/>
          <w:szCs w:val="24"/>
          <w:lang w:val="en-GB"/>
        </w:rPr>
        <w:t xml:space="preserve">cardiometabolic </w:t>
      </w:r>
      <w:r w:rsidR="00521864" w:rsidRPr="00AC3327">
        <w:rPr>
          <w:b/>
          <w:sz w:val="24"/>
          <w:szCs w:val="24"/>
          <w:lang w:val="en-GB"/>
        </w:rPr>
        <w:t>multimorbidity</w:t>
      </w:r>
      <w:r w:rsidR="005862A6">
        <w:rPr>
          <w:b/>
          <w:sz w:val="24"/>
          <w:szCs w:val="24"/>
          <w:lang w:val="en-GB"/>
        </w:rPr>
        <w:t>,</w:t>
      </w:r>
      <w:r w:rsidR="00521864" w:rsidRPr="00AC3327">
        <w:rPr>
          <w:b/>
          <w:sz w:val="24"/>
          <w:szCs w:val="24"/>
          <w:lang w:val="en-GB"/>
        </w:rPr>
        <w:t xml:space="preserve"> and mortality.</w:t>
      </w:r>
      <w:proofErr w:type="gramEnd"/>
    </w:p>
    <w:tbl>
      <w:tblPr>
        <w:tblW w:w="1426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9"/>
        <w:gridCol w:w="1247"/>
        <w:gridCol w:w="1588"/>
        <w:gridCol w:w="1647"/>
        <w:gridCol w:w="1644"/>
        <w:gridCol w:w="258"/>
        <w:gridCol w:w="1588"/>
        <w:gridCol w:w="1588"/>
        <w:gridCol w:w="1588"/>
      </w:tblGrid>
      <w:tr w:rsidR="00521864" w:rsidRPr="00706997" w:rsidTr="000D3460">
        <w:trPr>
          <w:trHeight w:hRule="exact"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463DE" w:rsidRDefault="00521864" w:rsidP="00063E39">
            <w:pPr>
              <w:rPr>
                <w:rFonts w:cs="Times New Roman"/>
                <w:b/>
                <w:lang w:val="en-GB"/>
              </w:rPr>
            </w:pPr>
            <w:r w:rsidRPr="00A463DE">
              <w:rPr>
                <w:rFonts w:cs="Times New Roman"/>
                <w:b/>
                <w:lang w:val="en-GB"/>
              </w:rPr>
              <w:t>TRANSITIONS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Model 1</w:t>
            </w:r>
          </w:p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Model 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</w:tr>
      <w:tr w:rsidR="00521864" w:rsidRPr="00706997" w:rsidTr="000D3460">
        <w:trPr>
          <w:trHeight w:hRule="exact" w:val="680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N</w:t>
            </w:r>
          </w:p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Events/Total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Education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64" w:rsidRPr="00A463DE" w:rsidRDefault="00224377" w:rsidP="00063E3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cs="Arial"/>
                <w:b/>
                <w:color w:val="000000" w:themeColor="text1"/>
                <w:lang w:val="en-GB" w:eastAsia="en-GB"/>
              </w:rPr>
              <w:t>Behavioural factors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463DE">
              <w:rPr>
                <w:b/>
                <w:lang w:val="en-GB"/>
              </w:rPr>
              <w:t>Clinical profile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Education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64" w:rsidRPr="00A463DE" w:rsidRDefault="00224377" w:rsidP="00063E39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rFonts w:cs="Arial"/>
                <w:b/>
                <w:color w:val="000000" w:themeColor="text1"/>
                <w:lang w:val="en-GB" w:eastAsia="en-GB"/>
              </w:rPr>
              <w:t>Behavioural factors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463DE">
              <w:rPr>
                <w:b/>
                <w:lang w:val="en-GB"/>
              </w:rPr>
              <w:t>Clinical profile</w:t>
            </w:r>
          </w:p>
        </w:tc>
      </w:tr>
      <w:tr w:rsidR="00521864" w:rsidRPr="00706997" w:rsidTr="000D3460">
        <w:trPr>
          <w:trHeight w:hRule="exact" w:val="340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463DE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463DE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463DE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463DE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463DE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463DE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463DE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463DE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463DE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463DE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463DE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463DE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463DE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463DE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463DE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val="en-GB" w:eastAsia="en-GB"/>
              </w:rPr>
            </w:pPr>
            <w:proofErr w:type="spellStart"/>
            <w:r w:rsidRPr="00A463DE">
              <w:rPr>
                <w:rFonts w:cs="Arial"/>
                <w:color w:val="000000" w:themeColor="text1"/>
                <w:lang w:val="en-GB" w:eastAsia="en-GB"/>
              </w:rPr>
              <w:t>HR</w:t>
            </w:r>
            <w:r w:rsidRPr="00A463DE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A463DE">
              <w:rPr>
                <w:rFonts w:cs="Arial"/>
                <w:color w:val="000000" w:themeColor="text1"/>
                <w:lang w:val="en-GB" w:eastAsia="en-GB"/>
              </w:rPr>
              <w:t xml:space="preserve"> (95% CI)</w:t>
            </w:r>
          </w:p>
        </w:tc>
      </w:tr>
      <w:tr w:rsidR="00521864" w:rsidRPr="00706997" w:rsidTr="000D3460">
        <w:trPr>
          <w:trHeight w:hRule="exact" w:val="510"/>
        </w:trPr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A (healthy to 1</w:t>
            </w:r>
            <w:r w:rsidRPr="00A463DE">
              <w:rPr>
                <w:rFonts w:cs="Arial"/>
                <w:b/>
                <w:color w:val="000000" w:themeColor="text1"/>
                <w:vertAlign w:val="superscript"/>
                <w:lang w:val="en-GB" w:eastAsia="en-GB"/>
              </w:rPr>
              <w:t>st</w:t>
            </w: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 xml:space="preserve"> disease)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lang w:val="en-GB"/>
              </w:rPr>
              <w:t>2501/8270</w:t>
            </w:r>
          </w:p>
        </w:tc>
        <w:tc>
          <w:tcPr>
            <w:tcW w:w="1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1.52 (1.30, 1.77)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1.59 (1.35, 1.86)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3.81 (3.20, 4.53)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1.39 (1.19, 1.63)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1.50 (1.27, 1.76)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3.71 (3.12, 4.42)</w:t>
            </w:r>
          </w:p>
        </w:tc>
      </w:tr>
      <w:tr w:rsidR="00521864" w:rsidRPr="00706997" w:rsidTr="000D3460">
        <w:trPr>
          <w:trHeight w:hRule="exact" w:val="510"/>
        </w:trPr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B (1</w:t>
            </w:r>
            <w:r w:rsidRPr="00A463DE">
              <w:rPr>
                <w:rFonts w:cs="Arial"/>
                <w:b/>
                <w:color w:val="000000" w:themeColor="text1"/>
                <w:vertAlign w:val="superscript"/>
                <w:lang w:val="en-GB" w:eastAsia="en-GB"/>
              </w:rPr>
              <w:t>st</w:t>
            </w: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 xml:space="preserve"> disease to multimorbidity)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lang w:val="en-GB"/>
              </w:rPr>
              <w:t>511/2501</w:t>
            </w:r>
          </w:p>
        </w:tc>
        <w:tc>
          <w:tcPr>
            <w:tcW w:w="1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lang w:val="en-GB"/>
              </w:rPr>
              <w:t>1.48 (1.04, 2.10)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2.18 (1.54, 3.09)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1.28 (0.86, 1.91)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1.38 (0.97, 1.96)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2.13 (1.50, 3.03)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1.31 (0.87, 1.96)</w:t>
            </w:r>
          </w:p>
        </w:tc>
      </w:tr>
      <w:tr w:rsidR="00521864" w:rsidRPr="00706997" w:rsidTr="000D3460">
        <w:trPr>
          <w:trHeight w:hRule="exact" w:val="510"/>
        </w:trPr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C (healthy to mortality)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lang w:val="en-GB"/>
              </w:rPr>
              <w:t>872/8270</w:t>
            </w:r>
          </w:p>
        </w:tc>
        <w:tc>
          <w:tcPr>
            <w:tcW w:w="1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lang w:val="en-GB" w:eastAsia="en-GB"/>
              </w:rPr>
              <w:t>1.12 (0.86, 1.46)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3.08 (2.36, 4.02)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1.47 (1.09, 1.99)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0.98 (0.75, 1.28)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3.07 (2.35, 4.01)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1.43 (1.06, 1.94)</w:t>
            </w:r>
          </w:p>
        </w:tc>
      </w:tr>
      <w:tr w:rsidR="00521864" w:rsidRPr="00706997" w:rsidTr="000D3460">
        <w:trPr>
          <w:trHeight w:hRule="exact" w:val="510"/>
        </w:trPr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D (1</w:t>
            </w:r>
            <w:r w:rsidRPr="00A463DE">
              <w:rPr>
                <w:rFonts w:cs="Arial"/>
                <w:b/>
                <w:color w:val="000000" w:themeColor="text1"/>
                <w:vertAlign w:val="superscript"/>
                <w:lang w:val="en-GB" w:eastAsia="en-GB"/>
              </w:rPr>
              <w:t>st</w:t>
            </w: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 xml:space="preserve"> disease to mortality)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lang w:val="en-GB"/>
              </w:rPr>
              <w:t>383/2501</w:t>
            </w:r>
          </w:p>
        </w:tc>
        <w:tc>
          <w:tcPr>
            <w:tcW w:w="1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lang w:val="en-GB" w:eastAsia="en-GB"/>
              </w:rPr>
              <w:t>0.94 (0.63, 1.39)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2.09 (1.40, 3.11)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1.38 (0.87, 2.19)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0.87 (0.58, 1.29)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2.15 (1.44, 3.21)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1.42 (0.89, 2.27)</w:t>
            </w:r>
          </w:p>
        </w:tc>
      </w:tr>
      <w:tr w:rsidR="00521864" w:rsidRPr="00706997" w:rsidTr="000D3460">
        <w:trPr>
          <w:trHeight w:hRule="exact" w:val="51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864" w:rsidRPr="00A463DE" w:rsidRDefault="00521864" w:rsidP="00063E39">
            <w:pPr>
              <w:spacing w:after="0" w:line="240" w:lineRule="auto"/>
              <w:textAlignment w:val="bottom"/>
              <w:rPr>
                <w:rFonts w:cs="Arial"/>
                <w:b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b/>
                <w:color w:val="000000" w:themeColor="text1"/>
                <w:lang w:val="en-GB" w:eastAsia="en-GB"/>
              </w:rPr>
              <w:t>E (multimorbidity to mortality)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lang w:val="en-GB"/>
              </w:rPr>
              <w:t>151/511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lang w:val="en-GB" w:eastAsia="en-GB"/>
              </w:rPr>
              <w:t>0.91 (0.46, 1.81)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3.82 (2.01, 7.25)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  <w:r w:rsidRPr="00A463DE">
              <w:rPr>
                <w:rFonts w:cs="Arial"/>
                <w:lang w:val="en-GB" w:eastAsia="en-GB"/>
              </w:rPr>
              <w:t>0.64 (0.31, 1.34)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textAlignment w:val="bottom"/>
              <w:rPr>
                <w:rFonts w:cs="Arial"/>
                <w:color w:val="000000" w:themeColor="text1"/>
                <w:lang w:val="en-GB"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0.79 (0.40, 1.56)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3.83 (2.00, 7.30)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64" w:rsidRPr="00A463DE" w:rsidRDefault="00521864" w:rsidP="00063E39">
            <w:pPr>
              <w:spacing w:after="0" w:line="240" w:lineRule="auto"/>
              <w:jc w:val="center"/>
              <w:rPr>
                <w:lang w:val="en-GB"/>
              </w:rPr>
            </w:pPr>
            <w:r w:rsidRPr="00A463DE">
              <w:rPr>
                <w:rFonts w:cs="Arial"/>
                <w:color w:val="000000" w:themeColor="text1"/>
                <w:lang w:val="en-GB" w:eastAsia="en-GB"/>
              </w:rPr>
              <w:t>0.71 (0.34, 1.46)</w:t>
            </w:r>
          </w:p>
        </w:tc>
      </w:tr>
    </w:tbl>
    <w:p w:rsidR="00521864" w:rsidRPr="00A463DE" w:rsidRDefault="00521864" w:rsidP="00521864">
      <w:pPr>
        <w:spacing w:after="0" w:line="240" w:lineRule="auto"/>
        <w:rPr>
          <w:lang w:val="en-GB"/>
        </w:rPr>
      </w:pPr>
      <w:proofErr w:type="spellStart"/>
      <w:proofErr w:type="gramStart"/>
      <w:r w:rsidRPr="00A463DE">
        <w:rPr>
          <w:vertAlign w:val="superscript"/>
          <w:lang w:val="en-GB"/>
        </w:rPr>
        <w:t>a</w:t>
      </w:r>
      <w:r w:rsidRPr="00A463DE">
        <w:rPr>
          <w:lang w:val="en-GB"/>
        </w:rPr>
        <w:t>HR</w:t>
      </w:r>
      <w:proofErr w:type="spellEnd"/>
      <w:proofErr w:type="gramEnd"/>
      <w:r w:rsidRPr="00A463DE">
        <w:rPr>
          <w:lang w:val="en-GB"/>
        </w:rPr>
        <w:t xml:space="preserve"> for highest versus lowest in the scale.</w:t>
      </w:r>
    </w:p>
    <w:p w:rsidR="00521864" w:rsidRPr="00A463DE" w:rsidRDefault="00521864" w:rsidP="00521864">
      <w:pPr>
        <w:spacing w:after="0" w:line="240" w:lineRule="auto"/>
        <w:rPr>
          <w:lang w:val="en-GB"/>
        </w:rPr>
      </w:pPr>
      <w:r w:rsidRPr="00A463DE">
        <w:rPr>
          <w:lang w:val="en-GB"/>
        </w:rPr>
        <w:t>Model 1: Analysis adjusted for age, sex, ethnicity, marital status,</w:t>
      </w:r>
      <w:r>
        <w:rPr>
          <w:lang w:val="en-GB"/>
        </w:rPr>
        <w:t xml:space="preserve"> and</w:t>
      </w:r>
      <w:r w:rsidRPr="00A463DE">
        <w:rPr>
          <w:lang w:val="en-GB"/>
        </w:rPr>
        <w:t xml:space="preserve"> birth cohort.</w:t>
      </w:r>
    </w:p>
    <w:p w:rsidR="00521864" w:rsidRPr="00A463DE" w:rsidRDefault="00521864" w:rsidP="00521864">
      <w:pPr>
        <w:spacing w:after="0" w:line="240" w:lineRule="auto"/>
        <w:rPr>
          <w:rFonts w:cs="Arial"/>
          <w:lang w:val="en-GB"/>
        </w:rPr>
      </w:pPr>
      <w:proofErr w:type="gramStart"/>
      <w:r w:rsidRPr="00A463DE">
        <w:rPr>
          <w:rFonts w:cs="Arial"/>
          <w:lang w:val="en-GB"/>
        </w:rPr>
        <w:t>Model 2: Model 1 + mutual adjustment.</w:t>
      </w:r>
      <w:proofErr w:type="gramEnd"/>
    </w:p>
    <w:p w:rsidR="00FF51AA" w:rsidRDefault="00FF51AA"/>
    <w:sectPr w:rsidR="00FF51AA" w:rsidSect="000D346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4"/>
    <w:rsid w:val="000D3460"/>
    <w:rsid w:val="00224377"/>
    <w:rsid w:val="00521864"/>
    <w:rsid w:val="005862A6"/>
    <w:rsid w:val="005E46F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6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6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 Singh-Manoux</dc:creator>
  <cp:lastModifiedBy>Archana Singh-Manoux</cp:lastModifiedBy>
  <cp:revision>6</cp:revision>
  <dcterms:created xsi:type="dcterms:W3CDTF">2018-03-26T16:58:00Z</dcterms:created>
  <dcterms:modified xsi:type="dcterms:W3CDTF">2018-04-23T10:06:00Z</dcterms:modified>
</cp:coreProperties>
</file>