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7B8F0" w14:textId="636F661B" w:rsidR="00677C64" w:rsidRPr="008016CB" w:rsidRDefault="00155C55" w:rsidP="008016CB">
      <w:pPr>
        <w:spacing w:after="0" w:line="240" w:lineRule="auto"/>
        <w:rPr>
          <w:rFonts w:ascii="Times New Roman" w:eastAsia="Times New Roman" w:hAnsi="Times New Roman" w:cs="Times New Roman"/>
          <w:lang w:val="en-GB" w:eastAsia="nb-NO"/>
        </w:rPr>
      </w:pPr>
      <w:r>
        <w:rPr>
          <w:rFonts w:ascii="Times New Roman" w:eastAsia="Times New Roman" w:hAnsi="Times New Roman" w:cs="Times New Roman"/>
          <w:lang w:val="en-GB" w:eastAsia="nb-NO"/>
        </w:rPr>
        <w:t xml:space="preserve">S1 </w:t>
      </w:r>
      <w:r w:rsidR="00677C64" w:rsidRPr="008016CB">
        <w:rPr>
          <w:rFonts w:ascii="Times New Roman" w:eastAsia="Times New Roman" w:hAnsi="Times New Roman" w:cs="Times New Roman"/>
          <w:lang w:val="en-GB" w:eastAsia="nb-NO"/>
        </w:rPr>
        <w:t>Table. Summary of primary and key secondary outcomes in women with uncomplicated UTI randomi</w:t>
      </w:r>
      <w:r w:rsidR="00814F3E">
        <w:rPr>
          <w:rFonts w:ascii="Times New Roman" w:eastAsia="Times New Roman" w:hAnsi="Times New Roman" w:cs="Times New Roman"/>
          <w:lang w:val="en-GB" w:eastAsia="nb-NO"/>
        </w:rPr>
        <w:t>z</w:t>
      </w:r>
      <w:r w:rsidR="00677C64" w:rsidRPr="008016CB">
        <w:rPr>
          <w:rFonts w:ascii="Times New Roman" w:eastAsia="Times New Roman" w:hAnsi="Times New Roman" w:cs="Times New Roman"/>
          <w:lang w:val="en-GB" w:eastAsia="nb-NO"/>
        </w:rPr>
        <w:t xml:space="preserve">ed to either ibuprofen or </w:t>
      </w:r>
      <w:r w:rsidR="00814F3E">
        <w:rPr>
          <w:rFonts w:ascii="Times New Roman" w:eastAsia="Times New Roman" w:hAnsi="Times New Roman" w:cs="Times New Roman"/>
          <w:lang w:val="en-GB" w:eastAsia="nb-NO"/>
        </w:rPr>
        <w:t>piv</w:t>
      </w:r>
      <w:r w:rsidR="00677C64" w:rsidRPr="008016CB">
        <w:rPr>
          <w:rFonts w:ascii="Times New Roman" w:eastAsia="Times New Roman" w:hAnsi="Times New Roman" w:cs="Times New Roman"/>
          <w:lang w:val="en-GB" w:eastAsia="nb-NO"/>
        </w:rPr>
        <w:t>mecillinam</w:t>
      </w:r>
      <w:r w:rsidR="0088277F" w:rsidRPr="008016CB">
        <w:rPr>
          <w:rFonts w:ascii="Times New Roman" w:eastAsia="Times New Roman" w:hAnsi="Times New Roman" w:cs="Times New Roman"/>
          <w:lang w:val="en-GB" w:eastAsia="nb-NO"/>
        </w:rPr>
        <w:t>, per protocol population</w:t>
      </w:r>
      <w:r w:rsidR="00677C64" w:rsidRPr="008016CB">
        <w:rPr>
          <w:rFonts w:ascii="Times New Roman" w:eastAsia="Times New Roman" w:hAnsi="Times New Roman" w:cs="Times New Roman"/>
          <w:lang w:val="en-GB" w:eastAsia="nb-NO"/>
        </w:rPr>
        <w:t xml:space="preserve">. </w:t>
      </w:r>
      <w:r w:rsidR="00492FE6" w:rsidRPr="008016CB">
        <w:rPr>
          <w:rFonts w:ascii="Times New Roman" w:eastAsia="Times New Roman" w:hAnsi="Times New Roman" w:cs="Times New Roman"/>
          <w:lang w:val="en-GB" w:eastAsia="nb-NO"/>
        </w:rPr>
        <w:t>Figures are number of women (perc</w:t>
      </w:r>
      <w:r w:rsidR="00814F3E">
        <w:rPr>
          <w:rFonts w:ascii="Times New Roman" w:eastAsia="Times New Roman" w:hAnsi="Times New Roman" w:cs="Times New Roman"/>
          <w:lang w:val="en-GB" w:eastAsia="nb-NO"/>
        </w:rPr>
        <w:t>entage) unless stated otherwise</w:t>
      </w:r>
    </w:p>
    <w:tbl>
      <w:tblPr>
        <w:tblStyle w:val="ListTable1Light-Accent1"/>
        <w:tblW w:w="0" w:type="auto"/>
        <w:tblLook w:val="04A0" w:firstRow="1" w:lastRow="0" w:firstColumn="1" w:lastColumn="0" w:noHBand="0" w:noVBand="1"/>
      </w:tblPr>
      <w:tblGrid>
        <w:gridCol w:w="3296"/>
        <w:gridCol w:w="1521"/>
        <w:gridCol w:w="1876"/>
        <w:gridCol w:w="2379"/>
      </w:tblGrid>
      <w:tr w:rsidR="002E10E1" w:rsidRPr="00155C55" w14:paraId="091C1B93" w14:textId="77777777" w:rsidTr="00616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F81BD" w:themeColor="accent1"/>
            </w:tcBorders>
          </w:tcPr>
          <w:p w14:paraId="0B9EA2F6" w14:textId="77777777" w:rsidR="002E10E1" w:rsidRPr="00F7726F" w:rsidRDefault="002E10E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72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Outcomes</w:t>
            </w:r>
          </w:p>
        </w:tc>
        <w:tc>
          <w:tcPr>
            <w:tcW w:w="0" w:type="auto"/>
            <w:tcBorders>
              <w:top w:val="single" w:sz="4" w:space="0" w:color="4F81BD" w:themeColor="accent1"/>
            </w:tcBorders>
          </w:tcPr>
          <w:p w14:paraId="7322ED39" w14:textId="526724DF" w:rsidR="002E10E1" w:rsidRPr="00F7726F" w:rsidRDefault="002E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72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Ibuprofen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(n=150)</w:t>
            </w:r>
          </w:p>
        </w:tc>
        <w:tc>
          <w:tcPr>
            <w:tcW w:w="0" w:type="auto"/>
            <w:tcBorders>
              <w:top w:val="single" w:sz="4" w:space="0" w:color="4F81BD" w:themeColor="accent1"/>
            </w:tcBorders>
          </w:tcPr>
          <w:p w14:paraId="2659F99A" w14:textId="4313AD19" w:rsidR="002E10E1" w:rsidRPr="00F7726F" w:rsidRDefault="002E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Pivm</w:t>
            </w:r>
            <w:r w:rsidRPr="00F772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ecillinam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(n=154)</w:t>
            </w:r>
          </w:p>
        </w:tc>
        <w:tc>
          <w:tcPr>
            <w:tcW w:w="0" w:type="auto"/>
            <w:tcBorders>
              <w:top w:val="single" w:sz="4" w:space="0" w:color="4F81BD" w:themeColor="accent1"/>
            </w:tcBorders>
          </w:tcPr>
          <w:p w14:paraId="18FFD750" w14:textId="4A10FD72" w:rsidR="002E10E1" w:rsidRPr="00F7726F" w:rsidRDefault="002E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Adjusted risk di</w:t>
            </w:r>
            <w:r w:rsidRPr="00F772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fference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7726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(95% CI)</w:t>
            </w:r>
          </w:p>
        </w:tc>
      </w:tr>
      <w:tr w:rsidR="002E10E1" w:rsidRPr="00691282" w14:paraId="42367D99" w14:textId="77777777" w:rsidTr="007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AD41F8" w14:textId="12363A3B" w:rsidR="002E10E1" w:rsidRPr="00F7726F" w:rsidRDefault="002E10E1" w:rsidP="002E10E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54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Primary outcome</w:t>
            </w:r>
          </w:p>
        </w:tc>
        <w:tc>
          <w:tcPr>
            <w:tcW w:w="0" w:type="auto"/>
          </w:tcPr>
          <w:p w14:paraId="16C8B4A4" w14:textId="77777777" w:rsidR="002E10E1" w:rsidRDefault="002E10E1" w:rsidP="0026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CC6C07C" w14:textId="77777777" w:rsidR="002E10E1" w:rsidRDefault="002E10E1" w:rsidP="0026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FD324C5" w14:textId="77777777" w:rsidR="002E10E1" w:rsidRDefault="002E10E1" w:rsidP="0080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E10E1" w:rsidRPr="00691282" w14:paraId="3A4758CE" w14:textId="77777777" w:rsidTr="007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5A957F" w14:textId="77777777" w:rsidR="002E10E1" w:rsidRPr="00F7726F" w:rsidRDefault="002E10E1" w:rsidP="005B187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F7726F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Patients without symptoms by day 4</w:t>
            </w:r>
          </w:p>
        </w:tc>
        <w:tc>
          <w:tcPr>
            <w:tcW w:w="0" w:type="auto"/>
          </w:tcPr>
          <w:p w14:paraId="2C25DA5E" w14:textId="77777777" w:rsidR="002E10E1" w:rsidRPr="00F7726F" w:rsidRDefault="002E10E1" w:rsidP="0026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 (40)</w:t>
            </w:r>
          </w:p>
        </w:tc>
        <w:tc>
          <w:tcPr>
            <w:tcW w:w="0" w:type="auto"/>
          </w:tcPr>
          <w:p w14:paraId="43370896" w14:textId="77777777" w:rsidR="002E10E1" w:rsidRPr="00F7726F" w:rsidRDefault="002E10E1" w:rsidP="0026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112 (73)</w:t>
            </w:r>
          </w:p>
        </w:tc>
        <w:tc>
          <w:tcPr>
            <w:tcW w:w="0" w:type="auto"/>
          </w:tcPr>
          <w:p w14:paraId="3151446D" w14:textId="77777777" w:rsidR="002E10E1" w:rsidRPr="00F7726F" w:rsidRDefault="002E10E1" w:rsidP="0080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33% (22 to 43%)</w:t>
            </w:r>
          </w:p>
        </w:tc>
      </w:tr>
      <w:tr w:rsidR="002E10E1" w:rsidRPr="00691282" w14:paraId="0456196A" w14:textId="77777777" w:rsidTr="007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88B78F" w14:textId="6BE45E39" w:rsidR="002E10E1" w:rsidRPr="00F7726F" w:rsidRDefault="002E10E1" w:rsidP="005B187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Secondary outcomes</w:t>
            </w:r>
          </w:p>
        </w:tc>
        <w:tc>
          <w:tcPr>
            <w:tcW w:w="0" w:type="auto"/>
          </w:tcPr>
          <w:p w14:paraId="18F6E290" w14:textId="77777777" w:rsidR="002E10E1" w:rsidRDefault="002E10E1" w:rsidP="0026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25E5A4B" w14:textId="77777777" w:rsidR="002E10E1" w:rsidRDefault="002E10E1" w:rsidP="0026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8BAE0FE" w14:textId="77777777" w:rsidR="002E10E1" w:rsidRDefault="002E10E1" w:rsidP="0080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E10E1" w:rsidRPr="00691282" w14:paraId="08C7600D" w14:textId="77777777" w:rsidTr="007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26A728" w14:textId="77777777" w:rsidR="002E10E1" w:rsidRPr="00F7726F" w:rsidRDefault="002E10E1" w:rsidP="005B187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F7726F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Patients without symptoms by day 7</w:t>
            </w:r>
          </w:p>
        </w:tc>
        <w:tc>
          <w:tcPr>
            <w:tcW w:w="0" w:type="auto"/>
          </w:tcPr>
          <w:p w14:paraId="0BE79EF3" w14:textId="77777777" w:rsidR="002E10E1" w:rsidRPr="00F7726F" w:rsidRDefault="002E10E1" w:rsidP="0026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 (64)</w:t>
            </w:r>
          </w:p>
        </w:tc>
        <w:tc>
          <w:tcPr>
            <w:tcW w:w="0" w:type="auto"/>
          </w:tcPr>
          <w:p w14:paraId="4FC97597" w14:textId="77777777" w:rsidR="002E10E1" w:rsidRPr="00F7726F" w:rsidRDefault="002E10E1" w:rsidP="0026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138 (90)</w:t>
            </w:r>
          </w:p>
        </w:tc>
        <w:tc>
          <w:tcPr>
            <w:tcW w:w="0" w:type="auto"/>
          </w:tcPr>
          <w:p w14:paraId="7EB10D39" w14:textId="77777777" w:rsidR="002E10E1" w:rsidRPr="00F7726F" w:rsidRDefault="002E10E1" w:rsidP="0080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26% (16 to 35%)</w:t>
            </w:r>
          </w:p>
        </w:tc>
      </w:tr>
      <w:tr w:rsidR="002E10E1" w14:paraId="43834C36" w14:textId="77777777" w:rsidTr="007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BC8586" w14:textId="77777777" w:rsidR="002E10E1" w:rsidRPr="00F7726F" w:rsidRDefault="002E10E1" w:rsidP="005B187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Patients without symptoms by day </w:t>
            </w:r>
            <w:r w:rsidRPr="00F7726F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14</w:t>
            </w:r>
          </w:p>
        </w:tc>
        <w:tc>
          <w:tcPr>
            <w:tcW w:w="0" w:type="auto"/>
          </w:tcPr>
          <w:p w14:paraId="525B455D" w14:textId="77777777" w:rsidR="002E10E1" w:rsidRPr="00F7726F" w:rsidRDefault="002E10E1" w:rsidP="0026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120 (80)</w:t>
            </w:r>
          </w:p>
        </w:tc>
        <w:tc>
          <w:tcPr>
            <w:tcW w:w="0" w:type="auto"/>
          </w:tcPr>
          <w:p w14:paraId="1280D8E7" w14:textId="77777777" w:rsidR="002E10E1" w:rsidRPr="00F7726F" w:rsidRDefault="002E10E1" w:rsidP="0026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143 (93)</w:t>
            </w:r>
          </w:p>
        </w:tc>
        <w:tc>
          <w:tcPr>
            <w:tcW w:w="0" w:type="auto"/>
          </w:tcPr>
          <w:p w14:paraId="740DE0C5" w14:textId="77777777" w:rsidR="002E10E1" w:rsidRPr="00F7726F" w:rsidRDefault="002E10E1" w:rsidP="0080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13% (5 to 20%)</w:t>
            </w:r>
          </w:p>
        </w:tc>
      </w:tr>
      <w:tr w:rsidR="002E10E1" w:rsidRPr="00701AA7" w14:paraId="7322362C" w14:textId="77777777" w:rsidTr="007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0F9194" w14:textId="77777777" w:rsidR="002E10E1" w:rsidRPr="00F7726F" w:rsidRDefault="002E10E1" w:rsidP="00701AA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Median symptom duration after randomisation</w:t>
            </w:r>
          </w:p>
        </w:tc>
        <w:tc>
          <w:tcPr>
            <w:tcW w:w="0" w:type="auto"/>
          </w:tcPr>
          <w:p w14:paraId="3350AC10" w14:textId="77777777" w:rsidR="002E10E1" w:rsidRPr="00F7726F" w:rsidRDefault="002E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14:paraId="38E5BEB9" w14:textId="77777777" w:rsidR="002E10E1" w:rsidRPr="00F7726F" w:rsidRDefault="002E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14:paraId="60D2A209" w14:textId="77777777" w:rsidR="002E10E1" w:rsidRPr="00F7726F" w:rsidRDefault="002E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E10E1" w14:paraId="56C7D925" w14:textId="77777777" w:rsidTr="007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85312C" w14:textId="5B8D10ED" w:rsidR="002E10E1" w:rsidRPr="002E10E1" w:rsidRDefault="002E10E1" w:rsidP="0071422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10E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Urine cultures after 14 days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0" w:type="auto"/>
          </w:tcPr>
          <w:p w14:paraId="4ABC09C6" w14:textId="77777777" w:rsidR="002E10E1" w:rsidRPr="00F7726F" w:rsidRDefault="002E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ACFD1E4" w14:textId="77777777" w:rsidR="002E10E1" w:rsidRPr="00F7726F" w:rsidRDefault="002E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1B3E3F6" w14:textId="77777777" w:rsidR="002E10E1" w:rsidRPr="00F7726F" w:rsidRDefault="002E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E10E1" w:rsidRPr="00803615" w14:paraId="3E314326" w14:textId="77777777" w:rsidTr="007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E24DE9" w14:textId="30306C29" w:rsidR="002E10E1" w:rsidRPr="00F7726F" w:rsidRDefault="002E10E1" w:rsidP="005B187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Urine culture positive</w:t>
            </w:r>
          </w:p>
        </w:tc>
        <w:tc>
          <w:tcPr>
            <w:tcW w:w="0" w:type="auto"/>
          </w:tcPr>
          <w:p w14:paraId="43D3CBF2" w14:textId="77777777" w:rsidR="002E10E1" w:rsidRPr="00F7726F" w:rsidRDefault="002E10E1" w:rsidP="0080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 (27)</w:t>
            </w:r>
          </w:p>
        </w:tc>
        <w:tc>
          <w:tcPr>
            <w:tcW w:w="0" w:type="auto"/>
          </w:tcPr>
          <w:p w14:paraId="2F43D6C3" w14:textId="77777777" w:rsidR="002E10E1" w:rsidRPr="00F7726F" w:rsidRDefault="002E10E1" w:rsidP="00D43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 (10)</w:t>
            </w:r>
          </w:p>
        </w:tc>
        <w:tc>
          <w:tcPr>
            <w:tcW w:w="0" w:type="auto"/>
          </w:tcPr>
          <w:p w14:paraId="5892B421" w14:textId="77777777" w:rsidR="002E10E1" w:rsidRPr="00F7726F" w:rsidRDefault="002E10E1" w:rsidP="0080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-15% (-25 to -6%)</w:t>
            </w:r>
          </w:p>
        </w:tc>
      </w:tr>
      <w:tr w:rsidR="002E10E1" w:rsidRPr="00803615" w14:paraId="1D22AD30" w14:textId="77777777" w:rsidTr="007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E9E1C0" w14:textId="22614728" w:rsidR="002E10E1" w:rsidRPr="00F7726F" w:rsidRDefault="002E10E1" w:rsidP="005B187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Growth of primary pathogens</w:t>
            </w:r>
          </w:p>
        </w:tc>
        <w:tc>
          <w:tcPr>
            <w:tcW w:w="0" w:type="auto"/>
          </w:tcPr>
          <w:p w14:paraId="6186272A" w14:textId="77777777" w:rsidR="002E10E1" w:rsidRPr="00F7726F" w:rsidRDefault="002E10E1" w:rsidP="0080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 (18)</w:t>
            </w:r>
          </w:p>
        </w:tc>
        <w:tc>
          <w:tcPr>
            <w:tcW w:w="0" w:type="auto"/>
          </w:tcPr>
          <w:p w14:paraId="72995ABC" w14:textId="77777777" w:rsidR="002E10E1" w:rsidRPr="00F7726F" w:rsidRDefault="002E10E1" w:rsidP="00D43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(3)</w:t>
            </w:r>
          </w:p>
        </w:tc>
        <w:tc>
          <w:tcPr>
            <w:tcW w:w="0" w:type="auto"/>
          </w:tcPr>
          <w:p w14:paraId="003AE566" w14:textId="77777777" w:rsidR="002E10E1" w:rsidRPr="00F7726F" w:rsidRDefault="002E10E1" w:rsidP="0080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-13% (-22 to -6%)</w:t>
            </w:r>
          </w:p>
        </w:tc>
      </w:tr>
      <w:tr w:rsidR="002E10E1" w:rsidRPr="00803615" w14:paraId="60B78D2C" w14:textId="77777777" w:rsidTr="007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5ADF08" w14:textId="1F44CBD2" w:rsidR="002E10E1" w:rsidRPr="002E10E1" w:rsidRDefault="002E10E1" w:rsidP="002E10E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10E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Relapses/complications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0" w:type="auto"/>
          </w:tcPr>
          <w:p w14:paraId="772B1284" w14:textId="77777777" w:rsidR="002E10E1" w:rsidRPr="00F7726F" w:rsidRDefault="002E10E1" w:rsidP="0071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A723F46" w14:textId="77777777" w:rsidR="002E10E1" w:rsidRPr="00F7726F" w:rsidRDefault="002E10E1" w:rsidP="0071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BF23ADF" w14:textId="77777777" w:rsidR="002E10E1" w:rsidRPr="00F7726F" w:rsidRDefault="002E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E10E1" w:rsidRPr="0088277F" w14:paraId="63F2C40A" w14:textId="77777777" w:rsidTr="007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AE5EFA" w14:textId="304AC92F" w:rsidR="002E10E1" w:rsidRPr="00F7726F" w:rsidRDefault="002E10E1" w:rsidP="005B187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Treatment with antibiotics within day 14</w:t>
            </w:r>
          </w:p>
        </w:tc>
        <w:tc>
          <w:tcPr>
            <w:tcW w:w="0" w:type="auto"/>
          </w:tcPr>
          <w:p w14:paraId="027EAA37" w14:textId="77777777" w:rsidR="002E10E1" w:rsidRPr="00F7726F" w:rsidRDefault="002E10E1" w:rsidP="0080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 (38)</w:t>
            </w:r>
          </w:p>
        </w:tc>
        <w:tc>
          <w:tcPr>
            <w:tcW w:w="0" w:type="auto"/>
          </w:tcPr>
          <w:p w14:paraId="5054AA2A" w14:textId="77777777" w:rsidR="002E10E1" w:rsidRPr="00F7726F" w:rsidRDefault="002E10E1" w:rsidP="004D4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 (9)</w:t>
            </w:r>
          </w:p>
        </w:tc>
        <w:tc>
          <w:tcPr>
            <w:tcW w:w="0" w:type="auto"/>
          </w:tcPr>
          <w:p w14:paraId="5B10F137" w14:textId="77777777" w:rsidR="002E10E1" w:rsidRPr="00F7726F" w:rsidRDefault="002E10E1" w:rsidP="0080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-28% (-37 to -19%)</w:t>
            </w:r>
          </w:p>
        </w:tc>
      </w:tr>
      <w:tr w:rsidR="002E10E1" w:rsidRPr="0088277F" w14:paraId="4692D896" w14:textId="77777777" w:rsidTr="007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11CA2D" w14:textId="69500614" w:rsidR="002E10E1" w:rsidRPr="00F7726F" w:rsidRDefault="002E10E1" w:rsidP="005B187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Treatment with antibiotics within day 28</w:t>
            </w:r>
          </w:p>
        </w:tc>
        <w:tc>
          <w:tcPr>
            <w:tcW w:w="0" w:type="auto"/>
          </w:tcPr>
          <w:p w14:paraId="2285D1E1" w14:textId="77777777" w:rsidR="002E10E1" w:rsidRPr="00F7726F" w:rsidRDefault="002E10E1" w:rsidP="004D4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 (43)</w:t>
            </w:r>
          </w:p>
        </w:tc>
        <w:tc>
          <w:tcPr>
            <w:tcW w:w="0" w:type="auto"/>
          </w:tcPr>
          <w:p w14:paraId="02D15AB1" w14:textId="77777777" w:rsidR="002E10E1" w:rsidRPr="00F7726F" w:rsidRDefault="002E10E1" w:rsidP="004D4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(11)</w:t>
            </w:r>
          </w:p>
        </w:tc>
        <w:tc>
          <w:tcPr>
            <w:tcW w:w="0" w:type="auto"/>
          </w:tcPr>
          <w:p w14:paraId="3490EEE3" w14:textId="77777777" w:rsidR="002E10E1" w:rsidRPr="00F7726F" w:rsidRDefault="002E10E1" w:rsidP="00803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-31% (-40 to -21%)</w:t>
            </w:r>
          </w:p>
        </w:tc>
      </w:tr>
      <w:tr w:rsidR="002E10E1" w:rsidRPr="00683FDE" w14:paraId="3E0C8327" w14:textId="77777777" w:rsidTr="00704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8BC72A" w14:textId="2E6E62ED" w:rsidR="002E10E1" w:rsidRPr="00F7726F" w:rsidRDefault="002E10E1" w:rsidP="0071422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Patients with febrile UTI</w:t>
            </w:r>
            <w:r>
              <w:rPr>
                <w:rFonts w:cs="Times New Roman"/>
                <w:b w:val="0"/>
                <w:sz w:val="20"/>
                <w:lang w:val="en-GB"/>
              </w:rPr>
              <w:t>†</w:t>
            </w:r>
          </w:p>
        </w:tc>
        <w:tc>
          <w:tcPr>
            <w:tcW w:w="0" w:type="auto"/>
          </w:tcPr>
          <w:p w14:paraId="2F64537A" w14:textId="77777777" w:rsidR="002E10E1" w:rsidRPr="00F7726F" w:rsidRDefault="002E10E1" w:rsidP="0071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(3)</w:t>
            </w:r>
          </w:p>
        </w:tc>
        <w:tc>
          <w:tcPr>
            <w:tcW w:w="0" w:type="auto"/>
          </w:tcPr>
          <w:p w14:paraId="36E33228" w14:textId="77777777" w:rsidR="002E10E1" w:rsidRPr="00F7726F" w:rsidRDefault="002E10E1" w:rsidP="0071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0" w:type="auto"/>
          </w:tcPr>
          <w:p w14:paraId="45080345" w14:textId="77777777" w:rsidR="002E10E1" w:rsidRPr="00F7726F" w:rsidRDefault="002E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-2.7% (-6.7 to 0.3%)</w:t>
            </w:r>
          </w:p>
        </w:tc>
      </w:tr>
      <w:tr w:rsidR="002E10E1" w:rsidRPr="00683FDE" w14:paraId="7A8B7903" w14:textId="77777777" w:rsidTr="0070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1041E5" w14:textId="3D757584" w:rsidR="002E10E1" w:rsidRDefault="002E10E1" w:rsidP="0071422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Patients with pyelonephritis</w:t>
            </w:r>
            <w:r>
              <w:rPr>
                <w:rFonts w:cs="Times New Roman"/>
                <w:b w:val="0"/>
                <w:sz w:val="20"/>
                <w:lang w:val="en-GB"/>
              </w:rPr>
              <w:t>†</w:t>
            </w:r>
          </w:p>
        </w:tc>
        <w:tc>
          <w:tcPr>
            <w:tcW w:w="0" w:type="auto"/>
          </w:tcPr>
          <w:p w14:paraId="67BC8FAF" w14:textId="77777777" w:rsidR="002E10E1" w:rsidRPr="00F7726F" w:rsidRDefault="002E10E1" w:rsidP="0071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(3)</w:t>
            </w:r>
          </w:p>
        </w:tc>
        <w:tc>
          <w:tcPr>
            <w:tcW w:w="0" w:type="auto"/>
          </w:tcPr>
          <w:p w14:paraId="47E10DD5" w14:textId="77777777" w:rsidR="002E10E1" w:rsidRPr="00F7726F" w:rsidRDefault="002E10E1" w:rsidP="00714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0" w:type="auto"/>
          </w:tcPr>
          <w:p w14:paraId="1FDC80D8" w14:textId="77777777" w:rsidR="002E10E1" w:rsidRPr="00F7726F" w:rsidRDefault="002E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-2.7% (-6.7 to 0.3%)</w:t>
            </w:r>
          </w:p>
        </w:tc>
      </w:tr>
      <w:tr w:rsidR="006162D7" w:rsidRPr="00683FDE" w14:paraId="0701A7F1" w14:textId="77777777" w:rsidTr="0061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4F81BD" w:themeColor="accent1"/>
            </w:tcBorders>
          </w:tcPr>
          <w:p w14:paraId="53AE69CA" w14:textId="55ACF580" w:rsidR="002E10E1" w:rsidRPr="00F7726F" w:rsidRDefault="002E10E1" w:rsidP="0071422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Serious adverse events</w:t>
            </w:r>
          </w:p>
        </w:tc>
        <w:tc>
          <w:tcPr>
            <w:tcW w:w="0" w:type="auto"/>
            <w:tcBorders>
              <w:bottom w:val="single" w:sz="4" w:space="0" w:color="4F81BD" w:themeColor="accent1"/>
            </w:tcBorders>
          </w:tcPr>
          <w:p w14:paraId="651D5468" w14:textId="77777777" w:rsidR="002E10E1" w:rsidRPr="00F7726F" w:rsidRDefault="002E10E1" w:rsidP="0071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(2)</w:t>
            </w:r>
          </w:p>
        </w:tc>
        <w:tc>
          <w:tcPr>
            <w:tcW w:w="0" w:type="auto"/>
            <w:tcBorders>
              <w:bottom w:val="single" w:sz="4" w:space="0" w:color="4F81BD" w:themeColor="accent1"/>
            </w:tcBorders>
          </w:tcPr>
          <w:p w14:paraId="313BF472" w14:textId="77777777" w:rsidR="002E10E1" w:rsidRPr="00F7726F" w:rsidRDefault="002E10E1" w:rsidP="00714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(1)</w:t>
            </w:r>
          </w:p>
        </w:tc>
        <w:tc>
          <w:tcPr>
            <w:tcW w:w="0" w:type="auto"/>
            <w:tcBorders>
              <w:bottom w:val="single" w:sz="4" w:space="0" w:color="4F81BD" w:themeColor="accent1"/>
            </w:tcBorders>
          </w:tcPr>
          <w:p w14:paraId="641D8B02" w14:textId="77777777" w:rsidR="002E10E1" w:rsidRPr="00F7726F" w:rsidRDefault="002E10E1" w:rsidP="0080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-1.4% (-4.2 to 1.4%)</w:t>
            </w:r>
          </w:p>
        </w:tc>
      </w:tr>
    </w:tbl>
    <w:p w14:paraId="0A3C232E" w14:textId="4108FF94" w:rsidR="00192575" w:rsidRPr="006F00C5" w:rsidRDefault="002E10E1" w:rsidP="00192575">
      <w:pPr>
        <w:pStyle w:val="NoSpacing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*</w:t>
      </w:r>
      <w:r w:rsidR="00192575" w:rsidRPr="006F00C5">
        <w:rPr>
          <w:rFonts w:ascii="Times New Roman" w:hAnsi="Times New Roman"/>
          <w:sz w:val="20"/>
          <w:szCs w:val="20"/>
          <w:lang w:val="en-GB"/>
        </w:rPr>
        <w:t>Numbers represent observed (non-missing) data while estimates are based on imputed data</w:t>
      </w:r>
    </w:p>
    <w:p w14:paraId="615FDCE4" w14:textId="410F2E93" w:rsidR="006F00C5" w:rsidRPr="000145A0" w:rsidRDefault="006F00C5" w:rsidP="006F00C5">
      <w:pPr>
        <w:pStyle w:val="NoSpacing"/>
        <w:rPr>
          <w:rFonts w:ascii="Times New Roman" w:hAnsi="Times New Roman"/>
          <w:sz w:val="20"/>
          <w:szCs w:val="20"/>
          <w:lang w:val="en-GB"/>
        </w:rPr>
      </w:pPr>
      <w:r w:rsidRPr="000145A0">
        <w:rPr>
          <w:rFonts w:ascii="Times New Roman" w:hAnsi="Times New Roman"/>
          <w:sz w:val="20"/>
          <w:szCs w:val="20"/>
          <w:lang w:val="en-GB"/>
        </w:rPr>
        <w:t>† Complications categorized as no complications, febrile UTI and pye</w:t>
      </w:r>
      <w:r>
        <w:rPr>
          <w:rFonts w:ascii="Times New Roman" w:hAnsi="Times New Roman"/>
          <w:sz w:val="20"/>
          <w:szCs w:val="20"/>
          <w:lang w:val="en-GB"/>
        </w:rPr>
        <w:t>l</w:t>
      </w:r>
      <w:r w:rsidRPr="000145A0">
        <w:rPr>
          <w:rFonts w:ascii="Times New Roman" w:hAnsi="Times New Roman"/>
          <w:sz w:val="20"/>
          <w:szCs w:val="20"/>
          <w:lang w:val="en-GB"/>
        </w:rPr>
        <w:t xml:space="preserve">onephritis. </w:t>
      </w:r>
      <w:r w:rsidR="002E10E1">
        <w:rPr>
          <w:rFonts w:ascii="Times New Roman" w:hAnsi="Times New Roman"/>
          <w:sz w:val="20"/>
          <w:szCs w:val="20"/>
          <w:lang w:val="en-GB"/>
        </w:rPr>
        <w:t xml:space="preserve">Treatment differences are presented </w:t>
      </w:r>
      <w:r w:rsidRPr="000145A0">
        <w:rPr>
          <w:rFonts w:ascii="Times New Roman" w:hAnsi="Times New Roman"/>
          <w:sz w:val="20"/>
          <w:szCs w:val="20"/>
          <w:lang w:val="en-GB"/>
        </w:rPr>
        <w:t xml:space="preserve">with unadjusted confidence limits using Newcombe's hybrid score method. </w:t>
      </w:r>
    </w:p>
    <w:p w14:paraId="401E4479" w14:textId="77777777" w:rsidR="003E5A15" w:rsidRPr="00830E20" w:rsidRDefault="003E5A15" w:rsidP="00830E20">
      <w:pPr>
        <w:rPr>
          <w:rFonts w:ascii="Times New Roman" w:hAnsi="Times New Roman" w:cs="Times New Roman"/>
          <w:lang w:val="en-GB"/>
        </w:rPr>
      </w:pPr>
    </w:p>
    <w:sectPr w:rsidR="003E5A15" w:rsidRPr="00830E20" w:rsidSect="0070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477"/>
    <w:multiLevelType w:val="hybridMultilevel"/>
    <w:tmpl w:val="CAA4AD6E"/>
    <w:lvl w:ilvl="0" w:tplc="BC84A8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64"/>
    <w:rsid w:val="00051AF9"/>
    <w:rsid w:val="00063889"/>
    <w:rsid w:val="00155C55"/>
    <w:rsid w:val="00192575"/>
    <w:rsid w:val="001B6DE7"/>
    <w:rsid w:val="001D549F"/>
    <w:rsid w:val="001D7AE1"/>
    <w:rsid w:val="002135A5"/>
    <w:rsid w:val="0024505C"/>
    <w:rsid w:val="002666A4"/>
    <w:rsid w:val="00267170"/>
    <w:rsid w:val="002C4DF5"/>
    <w:rsid w:val="002E10E1"/>
    <w:rsid w:val="003B310F"/>
    <w:rsid w:val="003E5A15"/>
    <w:rsid w:val="00445E25"/>
    <w:rsid w:val="0048462E"/>
    <w:rsid w:val="00490E9A"/>
    <w:rsid w:val="00492FE6"/>
    <w:rsid w:val="004D4038"/>
    <w:rsid w:val="00553BAE"/>
    <w:rsid w:val="00574CFC"/>
    <w:rsid w:val="005928F4"/>
    <w:rsid w:val="005A1ADE"/>
    <w:rsid w:val="005B1872"/>
    <w:rsid w:val="006162D7"/>
    <w:rsid w:val="00664FDB"/>
    <w:rsid w:val="00677C64"/>
    <w:rsid w:val="00683FDE"/>
    <w:rsid w:val="00691282"/>
    <w:rsid w:val="006C588B"/>
    <w:rsid w:val="006F00C5"/>
    <w:rsid w:val="00701AA7"/>
    <w:rsid w:val="007041CC"/>
    <w:rsid w:val="00762973"/>
    <w:rsid w:val="0079274B"/>
    <w:rsid w:val="007C5687"/>
    <w:rsid w:val="008016CB"/>
    <w:rsid w:val="00803615"/>
    <w:rsid w:val="00814F3E"/>
    <w:rsid w:val="00830E20"/>
    <w:rsid w:val="0088277F"/>
    <w:rsid w:val="008F6E34"/>
    <w:rsid w:val="00921D6F"/>
    <w:rsid w:val="009338B1"/>
    <w:rsid w:val="009836E4"/>
    <w:rsid w:val="009B55A0"/>
    <w:rsid w:val="00A12EF9"/>
    <w:rsid w:val="00A66030"/>
    <w:rsid w:val="00B65B1E"/>
    <w:rsid w:val="00C27CB6"/>
    <w:rsid w:val="00C27CD6"/>
    <w:rsid w:val="00CF7FDF"/>
    <w:rsid w:val="00D43406"/>
    <w:rsid w:val="00DF257F"/>
    <w:rsid w:val="00E42A64"/>
    <w:rsid w:val="00EA54AA"/>
    <w:rsid w:val="00EE6794"/>
    <w:rsid w:val="00F316C3"/>
    <w:rsid w:val="00F42AFE"/>
    <w:rsid w:val="00F62F76"/>
    <w:rsid w:val="00F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C593"/>
  <w15:docId w15:val="{614A7B2E-4317-4F4F-99E0-F862B225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772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F7726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30E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5A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19257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192575"/>
    <w:rPr>
      <w:rFonts w:ascii="Calibri" w:eastAsia="Times New Roman" w:hAnsi="Calibri" w:cs="Times New Roman"/>
      <w:lang w:eastAsia="en-US"/>
    </w:rPr>
  </w:style>
  <w:style w:type="table" w:styleId="ListTable1Light-Accent1">
    <w:name w:val="List Table 1 Light Accent 1"/>
    <w:basedOn w:val="TableNormal"/>
    <w:uiPriority w:val="46"/>
    <w:rsid w:val="007041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1">
    <w:name w:val="List Table 6 Colorful Accent 1"/>
    <w:aliases w:val="light shading"/>
    <w:basedOn w:val="TableNormal"/>
    <w:uiPriority w:val="51"/>
    <w:rsid w:val="007041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548DD4" w:themeColor="text2" w:themeTint="99"/>
        <w:bottom w:val="single" w:sz="4" w:space="0" w:color="548DD4" w:themeColor="text2" w:themeTint="99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53A06D23.dotm</Template>
  <TotalTime>30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Vik</dc:creator>
  <cp:lastModifiedBy>Ingvild Vik</cp:lastModifiedBy>
  <cp:revision>9</cp:revision>
  <dcterms:created xsi:type="dcterms:W3CDTF">2017-11-15T03:37:00Z</dcterms:created>
  <dcterms:modified xsi:type="dcterms:W3CDTF">2018-04-06T13:30:00Z</dcterms:modified>
</cp:coreProperties>
</file>