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32" w:rsidRDefault="009454CC" w:rsidP="00085F20">
      <w:pPr>
        <w:pStyle w:val="NoSpacing"/>
      </w:pPr>
      <w:r w:rsidRPr="009454CC">
        <w:rPr>
          <w:b/>
        </w:rPr>
        <w:t>S11 Table.</w:t>
      </w:r>
      <w:r w:rsidRPr="009454CC">
        <w:t xml:space="preserve"> Discriminative assessment of cancer models using Harrell's C statistic (n=4792)</w:t>
      </w:r>
    </w:p>
    <w:p w:rsidR="009454CC" w:rsidRDefault="009454CC" w:rsidP="00085F20">
      <w:pPr>
        <w:pStyle w:val="NoSpacing"/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810"/>
        <w:gridCol w:w="1460"/>
        <w:gridCol w:w="1460"/>
        <w:gridCol w:w="1460"/>
        <w:gridCol w:w="300"/>
        <w:gridCol w:w="1350"/>
        <w:gridCol w:w="1460"/>
        <w:gridCol w:w="1460"/>
        <w:gridCol w:w="1460"/>
      </w:tblGrid>
      <w:tr w:rsidR="009454CC" w:rsidRPr="009454CC" w:rsidTr="009454CC">
        <w:trPr>
          <w:trHeight w:val="288"/>
        </w:trPr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Continuous analysis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Cut-off analysis</w:t>
            </w:r>
          </w:p>
        </w:tc>
      </w:tr>
      <w:tr w:rsidR="009454CC" w:rsidRPr="009454CC" w:rsidTr="009454CC">
        <w:trPr>
          <w:trHeight w:val="80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Frailty Score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Delta (*100)                  LCI; UCI               with 95%CI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Delta (*100)                  LCI; UCI               with 95%CI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Delta (*100)                  LCI; UCI               with 95%CI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Frailty Score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Delta (*100)                  LCI; UCI               with 95%CI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Delta (*100)                  LCI; UCI               with 95%CI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Delta (*100)                  LCI; UCI               with 95%CI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1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3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Basic models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55.7 (51.7; 59.6)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57.1 (52.8; 61.3)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59.4 (55.3; 63.4)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Basic models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55.7 (51.7; 59.6)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57.1 (52.8; 61.3)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59.4 (55.3; 63.4)</w:t>
            </w: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</w:tr>
      <w:tr w:rsidR="009454CC" w:rsidRPr="009454CC" w:rsidTr="009454CC">
        <w:trPr>
          <w:trHeight w:val="288"/>
        </w:trPr>
        <w:tc>
          <w:tcPr>
            <w:tcW w:w="11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Phenotype of frailty approach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ZED2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0.6 (-0.4; 1.6)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0.5 (-0.5;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0.4 (-0.5; 1.3)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FiND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(-0.6;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PFI 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(-0.3;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0.5)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SOF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(-0.7;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(-0.6; 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PFI pre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(-0.4; 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0.4)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SOF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PFI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(-0.6;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SOF pre-frail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(-0.7;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PHF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(-0.9;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(-0.6; 0.7)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ZED1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MPHF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(-0.6;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(-0.4;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 pre-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(-0.9;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PHF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(-0.4;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SPPB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(-0.9;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(-0.4;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PHF pre-frail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-0.3 (-1.1;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-0.3 (-0.1; 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ZED3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(-0.9;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(-0.4;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FiND</w:t>
            </w:r>
            <w:proofErr w:type="spellEnd"/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(-1.1; 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(-0.9;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(-0.8; 0.7)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SPPB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-0.5 (-1.4;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-0.5 (-1.3;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-0.3 (-0.8;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11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Multidimensional approach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(-0.5;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BFI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0.5 (-1.1;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0.7 (-0.7;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0.5 (-0.8; 1.8)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(-0.7;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(-0.3; 0.2)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CGAST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0.3 (-0.9; 1.5)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(-0.8;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0.6)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SDFI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CGAST pre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(-0.5; 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BFI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(-0.3;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(-0.8; 0.9)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G8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(-0.8; 1.2)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(-1.3; 1.1)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EFS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(-0.9; 1.1)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FSS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(-0.5;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(-0.7;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(-0.7;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FSS pre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(-0.6;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(-0.5;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(-0.6; 0.7)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IFQ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(-0.6;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SPQ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(-0.6; 1.0)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(-0.6;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0.6)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HSF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(-0.4; 0.7)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EFS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(-0.1;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GFI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(-0.7;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GFI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(-0.6;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(-0.7;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TFI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(-0.3; 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SDFI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(-0.8; 0.5)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SI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TFI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(-0.6; 0.8)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CSBA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(-0.5; 0.9)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SI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(-0.3;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-0.5 (-0.7; 0.7)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MFS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MFS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(-0.7;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(-0.6;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MFS pre-frail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IFQ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(-0.4;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CSBA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-0.3 (-1.0;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(-0.8; 2.0)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0.6)</w:t>
            </w:r>
          </w:p>
        </w:tc>
      </w:tr>
      <w:tr w:rsidR="009454CC" w:rsidRPr="009454CC" w:rsidTr="009454CC">
        <w:trPr>
          <w:trHeight w:val="288"/>
        </w:trPr>
        <w:tc>
          <w:tcPr>
            <w:tcW w:w="11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Accumulation of deficits approach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(-0.4; 0.8)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FI40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0.3 (-0.7; 1.3)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3.0)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(-0.6;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(-0.8;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3.0)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NLTCS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(-0.4;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-0.3 (-0.9; 0.2)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 pre-frail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3.0)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0.4)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FI70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(-0.6; 3.0)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0.3 (-0.6; 1.1)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FIBLSA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(-0.8; 0.6)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EFIP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9454CC" w:rsidRPr="009454CC" w:rsidTr="009454CC">
        <w:trPr>
          <w:trHeight w:val="288"/>
        </w:trPr>
        <w:tc>
          <w:tcPr>
            <w:tcW w:w="11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Disability  approach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WHRH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(-0.6; 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(-0.2; 1.0)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WHRH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0.2 (-0.4; 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4.0)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(-1.2; 0.9)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HRCA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VES13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0.1 (-0.5; 0.7)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4.0)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VES13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(-0.7;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-0.4 (-0.1; 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HRCA frail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(-0.5; 0.6)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4.0)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(-0.2; 0.3)</w:t>
            </w:r>
          </w:p>
        </w:tc>
      </w:tr>
      <w:tr w:rsidR="009454CC" w:rsidRPr="009454CC" w:rsidTr="009454C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SHCFS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-0.2 (-0.6; 0.3)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(-0.4; 0.3)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SHCFS frail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(-0.5; 0.3)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-0.1 (-0.4; 4.0)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4CC" w:rsidRPr="009454CC" w:rsidRDefault="009454CC" w:rsidP="009454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454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 (-0.3; 0.3)</w:t>
            </w:r>
          </w:p>
        </w:tc>
      </w:tr>
    </w:tbl>
    <w:p w:rsidR="009454CC" w:rsidRDefault="009454CC" w:rsidP="00085F20">
      <w:pPr>
        <w:pStyle w:val="NoSpacing"/>
      </w:pPr>
    </w:p>
    <w:p w:rsidR="009454CC" w:rsidRPr="00323695" w:rsidRDefault="009454CC" w:rsidP="009454C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23695">
        <w:rPr>
          <w:rFonts w:ascii="Times New Roman" w:hAnsi="Times New Roman" w:cs="Times New Roman"/>
          <w:sz w:val="16"/>
          <w:szCs w:val="16"/>
        </w:rPr>
        <w:t>Model 1 = age and sex.  Model  2 = model  1 + smoking status and maximum alcohol consumption. Model 3= Model 2 + physical activity, BMI, diabetes, hypertension, ca</w:t>
      </w:r>
      <w:r>
        <w:rPr>
          <w:rFonts w:ascii="Times New Roman" w:hAnsi="Times New Roman" w:cs="Times New Roman"/>
          <w:sz w:val="16"/>
          <w:szCs w:val="16"/>
        </w:rPr>
        <w:t>rdiovascular disease</w:t>
      </w:r>
      <w:r w:rsidRPr="00323695">
        <w:rPr>
          <w:rFonts w:ascii="Times New Roman" w:hAnsi="Times New Roman" w:cs="Times New Roman"/>
          <w:sz w:val="16"/>
          <w:szCs w:val="16"/>
        </w:rPr>
        <w:t>, anemia, COPD, arthritis</w:t>
      </w:r>
      <w:bookmarkStart w:id="0" w:name="_GoBack"/>
      <w:bookmarkEnd w:id="0"/>
      <w:r w:rsidRPr="00323695">
        <w:rPr>
          <w:rFonts w:ascii="Times New Roman" w:hAnsi="Times New Roman" w:cs="Times New Roman"/>
          <w:sz w:val="16"/>
          <w:szCs w:val="16"/>
        </w:rPr>
        <w:t xml:space="preserve">, neuropsychiatric, depression, cognition, self-rated health &amp; quality of life   </w:t>
      </w:r>
    </w:p>
    <w:p w:rsidR="009454CC" w:rsidRPr="00323695" w:rsidRDefault="009454CC" w:rsidP="009454C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454CC" w:rsidRPr="00323695" w:rsidRDefault="009454CC" w:rsidP="009454C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2369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323695">
        <w:rPr>
          <w:rFonts w:ascii="Times New Roman" w:hAnsi="Times New Roman" w:cs="Times New Roman"/>
          <w:sz w:val="16"/>
          <w:szCs w:val="16"/>
        </w:rPr>
        <w:t xml:space="preserve">Delta = percent of improvement adding the frailty score to model.  </w:t>
      </w:r>
      <w:r w:rsidRPr="0032369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323695">
        <w:rPr>
          <w:rFonts w:ascii="Times New Roman" w:hAnsi="Times New Roman" w:cs="Times New Roman"/>
          <w:sz w:val="16"/>
          <w:szCs w:val="16"/>
        </w:rPr>
        <w:t xml:space="preserve">Harrel's C statistic of each model (lower confidence interval; upper confidence interval)*100.  </w:t>
      </w:r>
    </w:p>
    <w:p w:rsidR="009454CC" w:rsidRPr="00323695" w:rsidRDefault="009454CC" w:rsidP="009454C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454CC" w:rsidRPr="00323695" w:rsidRDefault="009454CC" w:rsidP="009454C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23695">
        <w:rPr>
          <w:rFonts w:ascii="Times New Roman" w:hAnsi="Times New Roman" w:cs="Times New Roman"/>
          <w:sz w:val="16"/>
          <w:szCs w:val="16"/>
        </w:rPr>
        <w:t>Abbreviations frailty scores: BDE= Beaver Dam Eye Study Index. BFI= Brief Frailty Index. CGA= Comprehensive Geriatric Assessment. CGAST= Comprehensive Geriatric Assessment Screening Tests. CSBA= Conselice Study of Brain Aging Score. EFIP= Evaluative Frailty Index for Physical Activity. EFS= Edmonton Frail Scale. FI40= 40-item Frailty Index. FI70= 70-item Frailty Index (SHARE). FIBLSA= Frailty Index Beijing Longitudinal Study of Ageing. FiND= Frail Non-Disabled Questionnaire. FS= Frail Scale. FSS= Frailty Staging System. G8= G-8 Geriatric Screening Tool.   GFI= Groningen Frailty Indicator. HRCA= Hebrew Rehabilitation Center for Aged Vulnerability Index. HSF= Health Status Form. IFQ= Inter-Frail Questionnaire. MFS= Modified Frailty Score.  MPHF= Modified Phenotype of Frailty. NLTCS= Long Term Care Survey Frailty Index. PFI= Physical Frailty Index.  PHF= Phenotype of Frailty. SDFI=, Static/Dynamic Frailty Index. SHCFS= Canadian Study of Health and Aging Clinical Frailty Scale·. SI= Screening Instrument. SOF= Study of Osteoporotic Fractures.  SPPB= Short Physical Performance Battery.  SPQ= Sherbrooke Postal Questionnaire. TFI= Tilburg Frailty Indicator. VES13= Vulnerable Elders Survey. WHRH= WHOAFC &amp; self-reported health. ZED1= ZutPhen Elderly Study (Physical Activity &amp; Low Energy).  ZED2= ZutPhen Elderly Study (Physical Activity &amp; Weight Loss). ZED3= ZutPhen Elderly Study (Physical Activity &amp; Low BMI).</w:t>
      </w:r>
    </w:p>
    <w:p w:rsidR="009454CC" w:rsidRPr="00990BEA" w:rsidRDefault="009454CC" w:rsidP="00085F20">
      <w:pPr>
        <w:pStyle w:val="NoSpacing"/>
      </w:pPr>
    </w:p>
    <w:sectPr w:rsidR="009454CC" w:rsidRPr="00990BEA" w:rsidSect="009454CC">
      <w:footerReference w:type="default" r:id="rId7"/>
      <w:pgSz w:w="16840" w:h="11900" w:orient="landscape"/>
      <w:pgMar w:top="1134" w:right="4150" w:bottom="1134" w:left="1483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F6" w:rsidRDefault="00B251F6" w:rsidP="00863875">
      <w:r>
        <w:separator/>
      </w:r>
    </w:p>
  </w:endnote>
  <w:endnote w:type="continuationSeparator" w:id="0">
    <w:p w:rsidR="00B251F6" w:rsidRDefault="00B251F6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80" w:rsidRPr="0023220F" w:rsidRDefault="0023220F" w:rsidP="00EE7134">
    <w:pPr>
      <w:pStyle w:val="Footer"/>
      <w:tabs>
        <w:tab w:val="clear" w:pos="4111"/>
        <w:tab w:val="clear" w:pos="6096"/>
        <w:tab w:val="left" w:pos="2977"/>
        <w:tab w:val="left" w:pos="5245"/>
      </w:tabs>
      <w:ind w:left="0" w:firstLine="0"/>
      <w:rPr>
        <w:b/>
        <w:bCs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F6" w:rsidRDefault="00B251F6" w:rsidP="00863875">
      <w:r>
        <w:separator/>
      </w:r>
    </w:p>
  </w:footnote>
  <w:footnote w:type="continuationSeparator" w:id="0">
    <w:p w:rsidR="00B251F6" w:rsidRDefault="00B251F6" w:rsidP="0086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ListNumber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ListNumber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ListBullet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ListBullet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F0E01"/>
    <w:multiLevelType w:val="singleLevel"/>
    <w:tmpl w:val="65E43BD0"/>
    <w:lvl w:ilvl="0">
      <w:start w:val="1"/>
      <w:numFmt w:val="bullet"/>
      <w:pStyle w:val="ListParagraph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CC"/>
    <w:rsid w:val="000326EB"/>
    <w:rsid w:val="00085F20"/>
    <w:rsid w:val="001428E2"/>
    <w:rsid w:val="00182080"/>
    <w:rsid w:val="0023220F"/>
    <w:rsid w:val="002C7480"/>
    <w:rsid w:val="003326B1"/>
    <w:rsid w:val="00472ED4"/>
    <w:rsid w:val="0049301D"/>
    <w:rsid w:val="004F4B78"/>
    <w:rsid w:val="00581AA8"/>
    <w:rsid w:val="00586717"/>
    <w:rsid w:val="005E345C"/>
    <w:rsid w:val="00614332"/>
    <w:rsid w:val="00670996"/>
    <w:rsid w:val="006F571A"/>
    <w:rsid w:val="00733D3C"/>
    <w:rsid w:val="007D7E63"/>
    <w:rsid w:val="007F07B4"/>
    <w:rsid w:val="00861CDD"/>
    <w:rsid w:val="00863875"/>
    <w:rsid w:val="008C0FC2"/>
    <w:rsid w:val="008D6012"/>
    <w:rsid w:val="009454CC"/>
    <w:rsid w:val="00990BEA"/>
    <w:rsid w:val="009B4BF7"/>
    <w:rsid w:val="00A07616"/>
    <w:rsid w:val="00A15F54"/>
    <w:rsid w:val="00A352E8"/>
    <w:rsid w:val="00B251F6"/>
    <w:rsid w:val="00B35920"/>
    <w:rsid w:val="00B96514"/>
    <w:rsid w:val="00BA2812"/>
    <w:rsid w:val="00C22F3C"/>
    <w:rsid w:val="00D579DB"/>
    <w:rsid w:val="00D84AA9"/>
    <w:rsid w:val="00DA47FB"/>
    <w:rsid w:val="00DB14E7"/>
    <w:rsid w:val="00DB3690"/>
    <w:rsid w:val="00DE11BB"/>
    <w:rsid w:val="00E750AD"/>
    <w:rsid w:val="00EC6E33"/>
    <w:rsid w:val="00EE7134"/>
    <w:rsid w:val="00F3489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09F61-3140-4E91-8E2E-000D8C7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20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571A"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color w:val="6E97A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HeaderChar">
    <w:name w:val="Header Char"/>
    <w:basedOn w:val="DefaultParagraphFont"/>
    <w:link w:val="Header"/>
    <w:uiPriority w:val="99"/>
    <w:rsid w:val="00182080"/>
  </w:style>
  <w:style w:type="paragraph" w:styleId="Footer">
    <w:name w:val="footer"/>
    <w:basedOn w:val="Normal"/>
    <w:link w:val="FooterChar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FooterChar">
    <w:name w:val="Footer Char"/>
    <w:link w:val="Footer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link w:val="Heading1"/>
    <w:uiPriority w:val="9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Heading2Char">
    <w:name w:val="Heading 2 Char"/>
    <w:link w:val="Heading2"/>
    <w:uiPriority w:val="9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Heading3Char">
    <w:name w:val="Heading 3 Char"/>
    <w:link w:val="Heading3"/>
    <w:uiPriority w:val="9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Heading4Char">
    <w:name w:val="Heading 4 Char"/>
    <w:link w:val="Heading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Heading5Char">
    <w:name w:val="Heading 5 Char"/>
    <w:link w:val="Heading5"/>
    <w:uiPriority w:val="9"/>
    <w:semiHidden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ListParagraph">
    <w:name w:val="List Paragraph"/>
    <w:basedOn w:val="ListBullet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ListBullet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DB14E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DB14E7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614332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B14E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614332"/>
    <w:pPr>
      <w:numPr>
        <w:numId w:val="6"/>
      </w:numPr>
      <w:ind w:left="568"/>
      <w:contextualSpacing/>
    </w:pPr>
  </w:style>
  <w:style w:type="paragraph" w:styleId="ListNumber3">
    <w:name w:val="List Number 3"/>
    <w:basedOn w:val="Normal"/>
    <w:uiPriority w:val="99"/>
    <w:unhideWhenUsed/>
    <w:rsid w:val="00DB14E7"/>
    <w:pPr>
      <w:numPr>
        <w:numId w:val="5"/>
      </w:numPr>
      <w:ind w:left="851" w:hanging="284"/>
      <w:contextualSpacing/>
    </w:pPr>
  </w:style>
  <w:style w:type="paragraph" w:styleId="NoSpacing">
    <w:name w:val="No Spacing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1045</Words>
  <Characters>5963</Characters>
  <Application>Microsoft Office Word</Application>
  <DocSecurity>0</DocSecurity>
  <Lines>49</Lines>
  <Paragraphs>13</Paragraphs>
  <ScaleCrop>false</ScaleCrop>
  <Company>CRP-Santé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Aguayo</dc:creator>
  <cp:keywords/>
  <dc:description/>
  <cp:lastModifiedBy>Gloria Aguayo</cp:lastModifiedBy>
  <cp:revision>1</cp:revision>
  <cp:lastPrinted>2016-02-04T10:54:00Z</cp:lastPrinted>
  <dcterms:created xsi:type="dcterms:W3CDTF">2018-02-19T16:35:00Z</dcterms:created>
  <dcterms:modified xsi:type="dcterms:W3CDTF">2018-02-19T16:38:00Z</dcterms:modified>
</cp:coreProperties>
</file>