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8BB" w:rsidRPr="00F740A9" w:rsidRDefault="00610524" w:rsidP="000C38BB">
      <w:pPr>
        <w:jc w:val="center"/>
        <w:rPr>
          <w:rFonts w:ascii="Times New Roman" w:hAnsi="Times New Roman" w:cs="Times New Roman"/>
          <w:b/>
          <w:sz w:val="28"/>
          <w:szCs w:val="28"/>
        </w:rPr>
      </w:pPr>
      <w:r w:rsidRPr="00F740A9">
        <w:rPr>
          <w:rFonts w:ascii="Times New Roman" w:hAnsi="Times New Roman" w:cs="Times New Roman"/>
          <w:b/>
          <w:sz w:val="28"/>
          <w:szCs w:val="28"/>
        </w:rPr>
        <w:t>St</w:t>
      </w:r>
      <w:r w:rsidR="000C38BB" w:rsidRPr="00F740A9">
        <w:rPr>
          <w:rFonts w:ascii="Times New Roman" w:hAnsi="Times New Roman" w:cs="Times New Roman"/>
          <w:b/>
          <w:sz w:val="28"/>
          <w:szCs w:val="28"/>
        </w:rPr>
        <w:t>atistical Analysis Plan</w:t>
      </w:r>
    </w:p>
    <w:p w:rsidR="000C38BB" w:rsidRPr="00F740A9" w:rsidRDefault="000C38BB" w:rsidP="000C38BB">
      <w:pPr>
        <w:jc w:val="center"/>
        <w:rPr>
          <w:rFonts w:ascii="Times New Roman" w:hAnsi="Times New Roman" w:cs="Times New Roman"/>
          <w:sz w:val="28"/>
          <w:szCs w:val="28"/>
        </w:rPr>
      </w:pPr>
      <w:r w:rsidRPr="00F740A9">
        <w:rPr>
          <w:rFonts w:ascii="Times New Roman" w:hAnsi="Times New Roman" w:cs="Times New Roman"/>
          <w:sz w:val="28"/>
          <w:szCs w:val="28"/>
        </w:rPr>
        <w:t>CCHMC Division of Biostatistics and Epidemiology</w:t>
      </w:r>
    </w:p>
    <w:p w:rsidR="000C38BB" w:rsidRDefault="000C38BB" w:rsidP="000C38BB">
      <w:pPr>
        <w:jc w:val="center"/>
        <w:rPr>
          <w:rFonts w:ascii="Times New Roman" w:hAnsi="Times New Roman" w:cs="Times New Roman"/>
          <w:b/>
          <w:sz w:val="26"/>
          <w:szCs w:val="26"/>
        </w:rPr>
      </w:pPr>
    </w:p>
    <w:p w:rsidR="000C38BB" w:rsidRPr="00C62F8A" w:rsidRDefault="000C38BB" w:rsidP="000C38BB">
      <w:pPr>
        <w:jc w:val="center"/>
        <w:rPr>
          <w:rFonts w:ascii="Times New Roman" w:hAnsi="Times New Roman" w:cs="Times New Roman"/>
          <w:b/>
          <w:sz w:val="26"/>
          <w:szCs w:val="26"/>
        </w:rPr>
      </w:pPr>
    </w:p>
    <w:p w:rsidR="000C38BB" w:rsidRPr="00C62F8A" w:rsidRDefault="002F2928" w:rsidP="000C38BB">
      <w:pPr>
        <w:jc w:val="center"/>
        <w:rPr>
          <w:rFonts w:ascii="Times New Roman" w:hAnsi="Times New Roman" w:cs="Times New Roman"/>
          <w:b/>
          <w:sz w:val="26"/>
          <w:szCs w:val="26"/>
        </w:rPr>
      </w:pPr>
      <w:r w:rsidRPr="002F2928">
        <w:rPr>
          <w:rFonts w:ascii="Times New Roman" w:hAnsi="Times New Roman" w:cs="Times New Roman"/>
          <w:b/>
          <w:sz w:val="32"/>
          <w:szCs w:val="32"/>
        </w:rPr>
        <w:t>Pharmacokinetic Studies of Tacrolimus in Transplant Patients</w:t>
      </w:r>
    </w:p>
    <w:p w:rsidR="000C38BB" w:rsidRDefault="000C38BB" w:rsidP="000C38BB">
      <w:pPr>
        <w:jc w:val="center"/>
        <w:rPr>
          <w:rFonts w:ascii="Times New Roman" w:hAnsi="Times New Roman" w:cs="Times New Roman"/>
          <w:sz w:val="28"/>
          <w:szCs w:val="28"/>
        </w:rPr>
      </w:pPr>
      <w:r>
        <w:rPr>
          <w:rFonts w:ascii="Times New Roman" w:hAnsi="Times New Roman" w:cs="Times New Roman"/>
          <w:sz w:val="28"/>
          <w:szCs w:val="28"/>
        </w:rPr>
        <w:t>Principal</w:t>
      </w:r>
      <w:r w:rsidRPr="00E5470B">
        <w:rPr>
          <w:rFonts w:ascii="Times New Roman" w:hAnsi="Times New Roman" w:cs="Times New Roman"/>
          <w:sz w:val="28"/>
          <w:szCs w:val="28"/>
        </w:rPr>
        <w:t xml:space="preserve"> Investigator:  </w:t>
      </w:r>
      <w:r w:rsidR="002F2928" w:rsidRPr="002F2928">
        <w:rPr>
          <w:rFonts w:ascii="Times New Roman" w:hAnsi="Times New Roman" w:cs="Times New Roman"/>
          <w:sz w:val="28"/>
          <w:szCs w:val="28"/>
        </w:rPr>
        <w:t>Rita Alloway, Pharm.D., FCCP</w:t>
      </w:r>
    </w:p>
    <w:p w:rsidR="000C38BB" w:rsidRDefault="000C38BB" w:rsidP="000C38BB">
      <w:pPr>
        <w:jc w:val="center"/>
        <w:rPr>
          <w:rFonts w:ascii="Times New Roman" w:hAnsi="Times New Roman" w:cs="Times New Roman"/>
          <w:sz w:val="28"/>
          <w:szCs w:val="28"/>
        </w:rPr>
      </w:pPr>
      <w:r>
        <w:rPr>
          <w:rFonts w:ascii="Times New Roman" w:hAnsi="Times New Roman" w:cs="Times New Roman"/>
          <w:sz w:val="28"/>
          <w:szCs w:val="28"/>
        </w:rPr>
        <w:t>Statistician</w:t>
      </w:r>
      <w:r w:rsidR="002F2928">
        <w:rPr>
          <w:rFonts w:ascii="Times New Roman" w:hAnsi="Times New Roman" w:cs="Times New Roman"/>
          <w:sz w:val="28"/>
          <w:szCs w:val="28"/>
        </w:rPr>
        <w:t>s</w:t>
      </w:r>
      <w:r>
        <w:rPr>
          <w:rFonts w:ascii="Times New Roman" w:hAnsi="Times New Roman" w:cs="Times New Roman"/>
          <w:sz w:val="28"/>
          <w:szCs w:val="28"/>
        </w:rPr>
        <w:t>:</w:t>
      </w:r>
      <w:r w:rsidR="002F2928">
        <w:rPr>
          <w:rFonts w:ascii="Times New Roman" w:hAnsi="Times New Roman" w:cs="Times New Roman"/>
          <w:sz w:val="28"/>
          <w:szCs w:val="28"/>
        </w:rPr>
        <w:t xml:space="preserve">  Eileen C King, PhD;  Yuanshu </w:t>
      </w:r>
      <w:r w:rsidR="002A5D2A">
        <w:rPr>
          <w:rFonts w:ascii="Times New Roman" w:hAnsi="Times New Roman" w:cs="Times New Roman"/>
          <w:sz w:val="28"/>
          <w:szCs w:val="28"/>
        </w:rPr>
        <w:t>Zou, PhD</w:t>
      </w:r>
    </w:p>
    <w:p w:rsidR="000C38BB" w:rsidRDefault="000C38BB" w:rsidP="000C38BB">
      <w:pPr>
        <w:rPr>
          <w:rFonts w:ascii="Times New Roman" w:hAnsi="Times New Roman" w:cs="Times New Roman"/>
          <w:sz w:val="26"/>
          <w:szCs w:val="26"/>
        </w:rPr>
      </w:pPr>
    </w:p>
    <w:p w:rsidR="000C38BB" w:rsidRDefault="000C38BB" w:rsidP="000C38BB">
      <w:pPr>
        <w:rPr>
          <w:rFonts w:ascii="Times New Roman" w:hAnsi="Times New Roman" w:cs="Times New Roman"/>
          <w:sz w:val="26"/>
          <w:szCs w:val="26"/>
        </w:rPr>
      </w:pPr>
    </w:p>
    <w:p w:rsidR="000C38BB" w:rsidRPr="00785951" w:rsidRDefault="000C38BB" w:rsidP="002A5D2A">
      <w:pPr>
        <w:ind w:left="1710" w:hanging="1710"/>
        <w:rPr>
          <w:rFonts w:ascii="Times New Roman" w:hAnsi="Times New Roman" w:cs="Times New Roman"/>
          <w:sz w:val="24"/>
        </w:rPr>
      </w:pPr>
      <w:r w:rsidRPr="00785951">
        <w:rPr>
          <w:rFonts w:ascii="Times New Roman" w:hAnsi="Times New Roman" w:cs="Times New Roman"/>
          <w:sz w:val="24"/>
        </w:rPr>
        <w:t>Project Sponsor:</w:t>
      </w:r>
      <w:r w:rsidR="002A5D2A">
        <w:rPr>
          <w:rFonts w:ascii="Times New Roman" w:hAnsi="Times New Roman" w:cs="Times New Roman"/>
          <w:sz w:val="24"/>
        </w:rPr>
        <w:t xml:space="preserve">  United States National Institutes of Helth and the Food and Drug Administration:  Office of Generic Drugs</w:t>
      </w:r>
    </w:p>
    <w:p w:rsidR="000C38BB" w:rsidRPr="00785951" w:rsidRDefault="000C38BB" w:rsidP="000C38BB">
      <w:pPr>
        <w:rPr>
          <w:rFonts w:ascii="Times New Roman" w:hAnsi="Times New Roman" w:cs="Times New Roman"/>
          <w:sz w:val="24"/>
        </w:rPr>
      </w:pPr>
      <w:r w:rsidRPr="00785951">
        <w:rPr>
          <w:rFonts w:ascii="Times New Roman" w:hAnsi="Times New Roman" w:cs="Times New Roman"/>
          <w:sz w:val="24"/>
        </w:rPr>
        <w:t>Grant Number (if applicable):</w:t>
      </w:r>
      <w:r w:rsidR="002A5D2A">
        <w:rPr>
          <w:rFonts w:ascii="Times New Roman" w:hAnsi="Times New Roman" w:cs="Times New Roman"/>
          <w:sz w:val="24"/>
        </w:rPr>
        <w:t xml:space="preserve">  U01 FD004573</w:t>
      </w:r>
    </w:p>
    <w:p w:rsidR="000C38BB" w:rsidRDefault="000C38BB" w:rsidP="000C38BB">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BB0B14" w:rsidRDefault="00BB0B14" w:rsidP="00BB0B14">
      <w:pPr>
        <w:rPr>
          <w:rFonts w:ascii="Times New Roman" w:hAnsi="Times New Roman" w:cs="Times New Roman"/>
          <w:szCs w:val="22"/>
        </w:rPr>
      </w:pPr>
    </w:p>
    <w:p w:rsidR="006A292D" w:rsidRPr="00F740A9" w:rsidRDefault="002B2697" w:rsidP="00BB0B14">
      <w:pPr>
        <w:rPr>
          <w:rFonts w:ascii="Times New Roman" w:hAnsi="Times New Roman" w:cs="Times New Roman"/>
          <w:b/>
          <w:sz w:val="24"/>
        </w:rPr>
      </w:pPr>
      <w:r w:rsidRPr="00F740A9">
        <w:rPr>
          <w:rFonts w:ascii="Times New Roman" w:hAnsi="Times New Roman" w:cs="Times New Roman"/>
          <w:b/>
          <w:sz w:val="24"/>
        </w:rPr>
        <w:t>Study Objectives</w:t>
      </w:r>
    </w:p>
    <w:p w:rsidR="002B2697" w:rsidRPr="00F740A9" w:rsidRDefault="002B2697" w:rsidP="00BB0B14">
      <w:pPr>
        <w:rPr>
          <w:rFonts w:ascii="Times New Roman" w:hAnsi="Times New Roman" w:cs="Times New Roman"/>
          <w:b/>
          <w:sz w:val="24"/>
        </w:rPr>
      </w:pPr>
    </w:p>
    <w:p w:rsidR="006A292D" w:rsidRPr="00F740A9" w:rsidRDefault="002B2697" w:rsidP="002B2697">
      <w:pPr>
        <w:pStyle w:val="ListParagraph"/>
        <w:numPr>
          <w:ilvl w:val="0"/>
          <w:numId w:val="9"/>
        </w:numPr>
        <w:rPr>
          <w:rFonts w:ascii="Times New Roman" w:hAnsi="Times New Roman" w:cs="Times New Roman"/>
          <w:sz w:val="24"/>
        </w:rPr>
      </w:pPr>
      <w:r w:rsidRPr="00F740A9">
        <w:rPr>
          <w:rFonts w:ascii="Times New Roman" w:hAnsi="Times New Roman" w:cs="Times New Roman"/>
          <w:iCs/>
          <w:sz w:val="24"/>
        </w:rPr>
        <w:t>To assess scaled average bioequivalence</w:t>
      </w:r>
      <w:r w:rsidR="002A5D2A" w:rsidRPr="00F740A9">
        <w:rPr>
          <w:rFonts w:ascii="Times New Roman" w:hAnsi="Times New Roman" w:cs="Times New Roman"/>
          <w:iCs/>
          <w:sz w:val="24"/>
        </w:rPr>
        <w:t xml:space="preserve"> of Generic Hi</w:t>
      </w:r>
      <w:r w:rsidRPr="00F740A9">
        <w:rPr>
          <w:rFonts w:ascii="Times New Roman" w:hAnsi="Times New Roman" w:cs="Times New Roman"/>
          <w:iCs/>
          <w:sz w:val="24"/>
        </w:rPr>
        <w:t xml:space="preserve"> Tacrolimus</w:t>
      </w:r>
      <w:r w:rsidR="002A5D2A" w:rsidRPr="00F740A9">
        <w:rPr>
          <w:rFonts w:ascii="Times New Roman" w:hAnsi="Times New Roman" w:cs="Times New Roman"/>
          <w:iCs/>
          <w:sz w:val="24"/>
        </w:rPr>
        <w:t xml:space="preserve"> and Generic Lo</w:t>
      </w:r>
      <w:r w:rsidRPr="00F740A9">
        <w:rPr>
          <w:rFonts w:ascii="Times New Roman" w:hAnsi="Times New Roman" w:cs="Times New Roman"/>
          <w:iCs/>
          <w:sz w:val="24"/>
        </w:rPr>
        <w:t xml:space="preserve"> Tacrolimus</w:t>
      </w:r>
      <w:r w:rsidR="002A5D2A" w:rsidRPr="00F740A9">
        <w:rPr>
          <w:rFonts w:ascii="Times New Roman" w:hAnsi="Times New Roman" w:cs="Times New Roman"/>
          <w:iCs/>
          <w:sz w:val="24"/>
        </w:rPr>
        <w:t xml:space="preserve"> </w:t>
      </w:r>
      <w:r w:rsidRPr="00F740A9">
        <w:rPr>
          <w:rFonts w:ascii="Times New Roman" w:hAnsi="Times New Roman" w:cs="Times New Roman"/>
          <w:iCs/>
          <w:sz w:val="24"/>
        </w:rPr>
        <w:t xml:space="preserve">to Brand Tacrolimus and to each other </w:t>
      </w:r>
      <w:r w:rsidR="002A5D2A" w:rsidRPr="00F740A9">
        <w:rPr>
          <w:rFonts w:ascii="Times New Roman" w:hAnsi="Times New Roman" w:cs="Times New Roman"/>
          <w:iCs/>
          <w:sz w:val="24"/>
        </w:rPr>
        <w:t xml:space="preserve">in a prospective, appropriately powered, fully replicated, blinded, 3-way cross-over study </w:t>
      </w:r>
      <w:r w:rsidRPr="00F740A9">
        <w:rPr>
          <w:rFonts w:ascii="Times New Roman" w:hAnsi="Times New Roman" w:cs="Times New Roman"/>
          <w:iCs/>
          <w:sz w:val="24"/>
        </w:rPr>
        <w:t xml:space="preserve">using 6 periods </w:t>
      </w:r>
      <w:r w:rsidR="002A5D2A" w:rsidRPr="00F740A9">
        <w:rPr>
          <w:rFonts w:ascii="Times New Roman" w:hAnsi="Times New Roman" w:cs="Times New Roman"/>
          <w:iCs/>
          <w:sz w:val="24"/>
        </w:rPr>
        <w:t>including kidney and l</w:t>
      </w:r>
      <w:r w:rsidRPr="00F740A9">
        <w:rPr>
          <w:rFonts w:ascii="Times New Roman" w:hAnsi="Times New Roman" w:cs="Times New Roman"/>
          <w:iCs/>
          <w:sz w:val="24"/>
        </w:rPr>
        <w:t>iver transplant patients.</w:t>
      </w:r>
      <w:r w:rsidRPr="00F740A9">
        <w:rPr>
          <w:rFonts w:ascii="Times New Roman" w:hAnsi="Times New Roman" w:cs="Times New Roman"/>
          <w:sz w:val="24"/>
        </w:rPr>
        <w:t xml:space="preserve"> </w:t>
      </w:r>
    </w:p>
    <w:p w:rsidR="002B2697" w:rsidRPr="00F740A9" w:rsidRDefault="002B2697" w:rsidP="002B2697">
      <w:pPr>
        <w:pStyle w:val="ListParagraph"/>
        <w:numPr>
          <w:ilvl w:val="0"/>
          <w:numId w:val="9"/>
        </w:numPr>
        <w:rPr>
          <w:rFonts w:ascii="Times New Roman" w:hAnsi="Times New Roman" w:cs="Times New Roman"/>
          <w:sz w:val="24"/>
        </w:rPr>
      </w:pPr>
      <w:r w:rsidRPr="00F740A9">
        <w:rPr>
          <w:rFonts w:ascii="Times New Roman" w:hAnsi="Times New Roman" w:cs="Times New Roman"/>
          <w:sz w:val="24"/>
        </w:rPr>
        <w:t>To compare the replicate relative bioavailability in important subgroups of interest among each of the three formulations of tacrolimus.</w:t>
      </w:r>
    </w:p>
    <w:p w:rsidR="002B2697" w:rsidRPr="00F740A9" w:rsidRDefault="002B2697" w:rsidP="002B2697">
      <w:pPr>
        <w:pStyle w:val="ListParagraph"/>
        <w:numPr>
          <w:ilvl w:val="0"/>
          <w:numId w:val="9"/>
        </w:numPr>
        <w:rPr>
          <w:rFonts w:ascii="Times New Roman" w:hAnsi="Times New Roman" w:cs="Times New Roman"/>
          <w:sz w:val="24"/>
        </w:rPr>
      </w:pPr>
      <w:r w:rsidRPr="00F740A9">
        <w:rPr>
          <w:rFonts w:ascii="Times New Roman" w:hAnsi="Times New Roman" w:cs="Times New Roman"/>
          <w:sz w:val="24"/>
        </w:rPr>
        <w:t>To assess the safety of each of the three formulations of tacrolimus.</w:t>
      </w:r>
    </w:p>
    <w:p w:rsidR="002B2697" w:rsidRPr="00F740A9" w:rsidRDefault="002B2697" w:rsidP="00BB0B14">
      <w:pPr>
        <w:rPr>
          <w:rFonts w:ascii="Times New Roman" w:hAnsi="Times New Roman" w:cs="Times New Roman"/>
          <w:b/>
          <w:sz w:val="24"/>
        </w:rPr>
      </w:pPr>
    </w:p>
    <w:p w:rsidR="006A292D" w:rsidRPr="00F740A9" w:rsidRDefault="006A292D" w:rsidP="00BB0B14">
      <w:pPr>
        <w:rPr>
          <w:rFonts w:ascii="Times New Roman" w:hAnsi="Times New Roman" w:cs="Times New Roman"/>
          <w:sz w:val="24"/>
        </w:rPr>
      </w:pPr>
    </w:p>
    <w:p w:rsidR="000C38BB" w:rsidRDefault="00F740A9" w:rsidP="000C38BB">
      <w:pPr>
        <w:rPr>
          <w:rFonts w:ascii="Times New Roman" w:hAnsi="Times New Roman" w:cs="Times New Roman"/>
          <w:b/>
          <w:sz w:val="24"/>
        </w:rPr>
      </w:pPr>
      <w:r>
        <w:rPr>
          <w:rFonts w:ascii="Times New Roman" w:hAnsi="Times New Roman" w:cs="Times New Roman"/>
          <w:b/>
          <w:sz w:val="24"/>
        </w:rPr>
        <w:t>Statistical Analyses Details</w:t>
      </w:r>
    </w:p>
    <w:p w:rsidR="00F740A9" w:rsidRDefault="00F740A9" w:rsidP="000C38BB">
      <w:pPr>
        <w:rPr>
          <w:rFonts w:ascii="Times New Roman" w:hAnsi="Times New Roman" w:cs="Times New Roman"/>
          <w:b/>
          <w:sz w:val="24"/>
        </w:rPr>
      </w:pPr>
    </w:p>
    <w:p w:rsidR="00C05D13" w:rsidRDefault="00761E35" w:rsidP="000C38BB">
      <w:pPr>
        <w:rPr>
          <w:rFonts w:ascii="Times New Roman" w:hAnsi="Times New Roman" w:cs="Times New Roman"/>
          <w:sz w:val="24"/>
        </w:rPr>
      </w:pPr>
      <w:r>
        <w:rPr>
          <w:rFonts w:ascii="Times New Roman" w:hAnsi="Times New Roman" w:cs="Times New Roman"/>
          <w:sz w:val="24"/>
        </w:rPr>
        <w:t xml:space="preserve">A six period, three treatment, three sequence crossover design was used for this study.  Each treatment was replicated two times.  </w:t>
      </w:r>
      <w:r w:rsidR="00C05D13">
        <w:rPr>
          <w:rFonts w:ascii="Times New Roman" w:hAnsi="Times New Roman" w:cs="Times New Roman"/>
          <w:sz w:val="24"/>
        </w:rPr>
        <w:t>The statistical analysis approach for</w:t>
      </w:r>
      <w:r w:rsidR="00C05D13" w:rsidRPr="00C05D13">
        <w:rPr>
          <w:rFonts w:ascii="Times New Roman" w:hAnsi="Times New Roman" w:cs="Times New Roman"/>
          <w:sz w:val="24"/>
        </w:rPr>
        <w:t xml:space="preserve"> assess</w:t>
      </w:r>
      <w:r w:rsidR="00C05D13">
        <w:rPr>
          <w:rFonts w:ascii="Times New Roman" w:hAnsi="Times New Roman" w:cs="Times New Roman"/>
          <w:sz w:val="24"/>
        </w:rPr>
        <w:t>ing</w:t>
      </w:r>
      <w:r w:rsidR="00C05D13" w:rsidRPr="00C05D13">
        <w:rPr>
          <w:rFonts w:ascii="Times New Roman" w:hAnsi="Times New Roman" w:cs="Times New Roman"/>
          <w:sz w:val="24"/>
        </w:rPr>
        <w:t xml:space="preserve"> scaled average bioequivalence </w:t>
      </w:r>
      <w:r w:rsidR="00DC551B">
        <w:rPr>
          <w:rFonts w:ascii="Times New Roman" w:hAnsi="Times New Roman" w:cs="Times New Roman"/>
          <w:sz w:val="24"/>
        </w:rPr>
        <w:t xml:space="preserve">(SCABE) </w:t>
      </w:r>
      <w:r w:rsidR="00C05D13" w:rsidRPr="00C05D13">
        <w:rPr>
          <w:rFonts w:ascii="Times New Roman" w:hAnsi="Times New Roman" w:cs="Times New Roman"/>
          <w:sz w:val="24"/>
        </w:rPr>
        <w:t>of each generic tacrolimus product (i.e. Generic Hi, Generic Lo) versus Brand tacrolimus</w:t>
      </w:r>
      <w:r w:rsidR="00C05D13">
        <w:rPr>
          <w:rFonts w:ascii="Times New Roman" w:hAnsi="Times New Roman" w:cs="Times New Roman"/>
          <w:sz w:val="24"/>
        </w:rPr>
        <w:t xml:space="preserve"> was based on the </w:t>
      </w:r>
      <w:r w:rsidR="00DC551B">
        <w:rPr>
          <w:rFonts w:ascii="Times New Roman" w:hAnsi="Times New Roman" w:cs="Times New Roman"/>
          <w:sz w:val="24"/>
        </w:rPr>
        <w:t xml:space="preserve">FDA </w:t>
      </w:r>
      <w:r w:rsidR="00C05D13">
        <w:rPr>
          <w:rFonts w:ascii="Times New Roman" w:hAnsi="Times New Roman" w:cs="Times New Roman"/>
          <w:sz w:val="24"/>
        </w:rPr>
        <w:t>“Draft Guidance on Warfarin</w:t>
      </w:r>
      <w:r w:rsidR="00C05D13" w:rsidRPr="00DC551B">
        <w:rPr>
          <w:rFonts w:ascii="Times New Roman" w:hAnsi="Times New Roman" w:cs="Times New Roman"/>
          <w:sz w:val="24"/>
        </w:rPr>
        <w:t>”</w:t>
      </w:r>
      <w:r w:rsidR="00DC551B" w:rsidRPr="00DC551B">
        <w:rPr>
          <w:rFonts w:ascii="Times New Roman" w:hAnsi="Times New Roman" w:cs="Times New Roman"/>
          <w:sz w:val="24"/>
        </w:rPr>
        <w:t xml:space="preserve"> with recommendation date of December 2012</w:t>
      </w:r>
      <w:r w:rsidR="00DC551B">
        <w:t xml:space="preserve"> </w:t>
      </w:r>
      <w:r w:rsidR="00C05D13">
        <w:t>(</w:t>
      </w:r>
      <w:hyperlink r:id="rId7" w:history="1">
        <w:r w:rsidR="00C05D13" w:rsidRPr="00D4495F">
          <w:rPr>
            <w:rStyle w:val="Hyperlink"/>
            <w:rFonts w:ascii="Times New Roman" w:hAnsi="Times New Roman" w:cs="Times New Roman"/>
            <w:sz w:val="24"/>
          </w:rPr>
          <w:t>http://www.fda.gov/downloads/drugs/guidancecomplianceregulatoryinformation/guidances/ucm201283.pdf</w:t>
        </w:r>
      </w:hyperlink>
      <w:r w:rsidR="00C05D13">
        <w:rPr>
          <w:rFonts w:ascii="Times New Roman" w:hAnsi="Times New Roman" w:cs="Times New Roman"/>
          <w:sz w:val="24"/>
        </w:rPr>
        <w:t>)</w:t>
      </w:r>
      <w:r w:rsidR="00DC551B">
        <w:rPr>
          <w:rFonts w:ascii="Times New Roman" w:hAnsi="Times New Roman" w:cs="Times New Roman"/>
          <w:sz w:val="24"/>
        </w:rPr>
        <w:t>.</w:t>
      </w:r>
    </w:p>
    <w:p w:rsidR="00DC551B" w:rsidRDefault="00DC551B" w:rsidP="000C38BB">
      <w:pPr>
        <w:rPr>
          <w:rFonts w:ascii="Times New Roman" w:hAnsi="Times New Roman" w:cs="Times New Roman"/>
          <w:sz w:val="24"/>
        </w:rPr>
      </w:pPr>
    </w:p>
    <w:p w:rsidR="001D78FF" w:rsidRDefault="001D78FF" w:rsidP="000C38BB">
      <w:pPr>
        <w:rPr>
          <w:rFonts w:ascii="Times New Roman" w:hAnsi="Times New Roman" w:cs="Times New Roman"/>
          <w:bCs/>
          <w:sz w:val="24"/>
        </w:rPr>
      </w:pPr>
    </w:p>
    <w:p w:rsidR="001D78FF" w:rsidRPr="001D78FF" w:rsidRDefault="001D78FF" w:rsidP="001D78FF">
      <w:pPr>
        <w:rPr>
          <w:rFonts w:ascii="Times New Roman" w:hAnsi="Times New Roman" w:cs="Times New Roman"/>
          <w:b/>
          <w:color w:val="auto"/>
          <w:sz w:val="24"/>
        </w:rPr>
      </w:pPr>
      <w:r w:rsidRPr="001D78FF">
        <w:rPr>
          <w:rFonts w:ascii="Times New Roman" w:hAnsi="Times New Roman" w:cs="Times New Roman"/>
          <w:b/>
          <w:sz w:val="24"/>
        </w:rPr>
        <w:t>Pharmacokinetic analysis</w:t>
      </w:r>
    </w:p>
    <w:p w:rsidR="001D78FF" w:rsidRPr="001D78FF" w:rsidRDefault="001D78FF" w:rsidP="001D78FF">
      <w:pPr>
        <w:rPr>
          <w:rFonts w:ascii="Times New Roman" w:hAnsi="Times New Roman" w:cs="Times New Roman"/>
          <w:sz w:val="24"/>
        </w:rPr>
      </w:pPr>
      <w:r w:rsidRPr="001D78FF">
        <w:rPr>
          <w:rFonts w:ascii="Times New Roman" w:hAnsi="Times New Roman" w:cs="Times New Roman"/>
          <w:sz w:val="24"/>
        </w:rPr>
        <w:t xml:space="preserve">Pharmacokinetic analysis of Tacrolimus whole blood concentration data was conducted using standard non-compartmental methods (Phoenix WinNonlin, version 6.2, Certara Company, St. Louis, MO). The concentration–time profiles of tacrolimus were explored graphically. The maximum observed plasma concentration (Cmax) and the time of the maximum observed plasma concentration (Tmax) were determined by visual inspection of the plasma tacrolimus concentration–time profiles. The area under the concentration-time curve (AUC from time 0 to the time of the last measured concentration at 12h) was determined using the linear trapezoidal method. </w:t>
      </w:r>
    </w:p>
    <w:p w:rsidR="001D78FF" w:rsidRDefault="001D78FF" w:rsidP="000C38BB">
      <w:pPr>
        <w:rPr>
          <w:rFonts w:ascii="Times New Roman" w:hAnsi="Times New Roman" w:cs="Times New Roman"/>
          <w:bCs/>
          <w:sz w:val="24"/>
        </w:rPr>
      </w:pPr>
      <w:bookmarkStart w:id="0" w:name="_GoBack"/>
      <w:bookmarkEnd w:id="0"/>
    </w:p>
    <w:p w:rsidR="00DC551B" w:rsidRDefault="00DC551B" w:rsidP="000C38BB">
      <w:pPr>
        <w:rPr>
          <w:rFonts w:ascii="Times New Roman" w:hAnsi="Times New Roman" w:cs="Times New Roman"/>
          <w:bCs/>
          <w:sz w:val="24"/>
        </w:rPr>
      </w:pPr>
      <w:r>
        <w:rPr>
          <w:rFonts w:ascii="Times New Roman" w:hAnsi="Times New Roman" w:cs="Times New Roman"/>
          <w:bCs/>
          <w:sz w:val="24"/>
        </w:rPr>
        <w:t xml:space="preserve">SCABE </w:t>
      </w:r>
      <w:r w:rsidR="00C83918">
        <w:rPr>
          <w:rFonts w:ascii="Times New Roman" w:hAnsi="Times New Roman" w:cs="Times New Roman"/>
          <w:bCs/>
          <w:sz w:val="24"/>
        </w:rPr>
        <w:t xml:space="preserve">for tacrolimus </w:t>
      </w:r>
      <w:r>
        <w:rPr>
          <w:rFonts w:ascii="Times New Roman" w:hAnsi="Times New Roman" w:cs="Times New Roman"/>
          <w:bCs/>
          <w:sz w:val="24"/>
        </w:rPr>
        <w:t xml:space="preserve">was assessed in liver and kidney transplant patients separately for the following pharmacokinetic (PK) parameters:  </w:t>
      </w:r>
      <w:r w:rsidRPr="00DC551B">
        <w:rPr>
          <w:rFonts w:ascii="Times New Roman" w:hAnsi="Times New Roman" w:cs="Times New Roman"/>
          <w:bCs/>
          <w:sz w:val="24"/>
        </w:rPr>
        <w:t>AUC</w:t>
      </w:r>
      <w:r w:rsidRPr="00DC551B">
        <w:rPr>
          <w:rFonts w:ascii="Times New Roman" w:hAnsi="Times New Roman" w:cs="Times New Roman"/>
          <w:bCs/>
          <w:sz w:val="24"/>
          <w:vertAlign w:val="subscript"/>
        </w:rPr>
        <w:t>0-t</w:t>
      </w:r>
      <w:r w:rsidRPr="00DC551B">
        <w:rPr>
          <w:rFonts w:ascii="Times New Roman" w:hAnsi="Times New Roman" w:cs="Times New Roman"/>
          <w:bCs/>
          <w:sz w:val="24"/>
        </w:rPr>
        <w:t>, Cmax, and  Cmin</w:t>
      </w:r>
      <w:r w:rsidRPr="00DC551B">
        <w:rPr>
          <w:rFonts w:ascii="Times New Roman" w:hAnsi="Times New Roman" w:cs="Times New Roman"/>
          <w:bCs/>
          <w:sz w:val="24"/>
          <w:vertAlign w:val="subscript"/>
        </w:rPr>
        <w:t xml:space="preserve"> </w:t>
      </w:r>
      <w:r w:rsidRPr="00DC551B">
        <w:rPr>
          <w:rFonts w:ascii="Times New Roman" w:hAnsi="Times New Roman" w:cs="Times New Roman"/>
          <w:bCs/>
          <w:sz w:val="24"/>
        </w:rPr>
        <w:t>at steady state</w:t>
      </w:r>
      <w:r>
        <w:rPr>
          <w:rFonts w:ascii="Times New Roman" w:hAnsi="Times New Roman" w:cs="Times New Roman"/>
          <w:bCs/>
          <w:sz w:val="24"/>
        </w:rPr>
        <w:t xml:space="preserve">.  </w:t>
      </w:r>
      <w:r w:rsidR="00C83918">
        <w:rPr>
          <w:rFonts w:ascii="Times New Roman" w:hAnsi="Times New Roman" w:cs="Times New Roman"/>
          <w:bCs/>
          <w:sz w:val="24"/>
        </w:rPr>
        <w:t xml:space="preserve">SCABE was also assessed for </w:t>
      </w:r>
      <w:r w:rsidR="00C83918" w:rsidRPr="00C83918">
        <w:rPr>
          <w:rFonts w:ascii="Times New Roman" w:hAnsi="Times New Roman" w:cs="Times New Roman"/>
          <w:bCs/>
          <w:sz w:val="24"/>
          <w:vertAlign w:val="subscript"/>
        </w:rPr>
        <w:t>AUC</w:t>
      </w:r>
      <w:r w:rsidR="00C83918">
        <w:rPr>
          <w:rFonts w:ascii="Times New Roman" w:hAnsi="Times New Roman" w:cs="Times New Roman"/>
          <w:bCs/>
          <w:sz w:val="24"/>
          <w:vertAlign w:val="subscript"/>
        </w:rPr>
        <w:t xml:space="preserve">o-t </w:t>
      </w:r>
      <w:r w:rsidR="00C83918">
        <w:rPr>
          <w:rFonts w:ascii="Times New Roman" w:hAnsi="Times New Roman" w:cs="Times New Roman"/>
          <w:bCs/>
          <w:sz w:val="24"/>
        </w:rPr>
        <w:t xml:space="preserve"> for the metabolite</w:t>
      </w:r>
      <w:r w:rsidR="00C83918" w:rsidRPr="00C83918">
        <w:rPr>
          <w:rFonts w:ascii="Times New Roman" w:hAnsi="Times New Roman" w:cs="Times New Roman"/>
          <w:bCs/>
          <w:sz w:val="24"/>
        </w:rPr>
        <w:t>13-O-desmethyl tacrolimus</w:t>
      </w:r>
      <w:r w:rsidR="00C83918">
        <w:rPr>
          <w:rFonts w:ascii="Times New Roman" w:hAnsi="Times New Roman" w:cs="Times New Roman"/>
          <w:bCs/>
          <w:sz w:val="24"/>
        </w:rPr>
        <w:t xml:space="preserve">.   </w:t>
      </w:r>
      <w:r>
        <w:rPr>
          <w:rFonts w:ascii="Times New Roman" w:hAnsi="Times New Roman" w:cs="Times New Roman"/>
          <w:bCs/>
          <w:sz w:val="24"/>
        </w:rPr>
        <w:t>Each of these parameters was log</w:t>
      </w:r>
      <w:r>
        <w:rPr>
          <w:rFonts w:ascii="Times New Roman" w:hAnsi="Times New Roman" w:cs="Times New Roman"/>
          <w:bCs/>
          <w:sz w:val="24"/>
          <w:vertAlign w:val="subscript"/>
        </w:rPr>
        <w:t>e</w:t>
      </w:r>
      <w:r>
        <w:rPr>
          <w:rFonts w:ascii="Times New Roman" w:hAnsi="Times New Roman" w:cs="Times New Roman"/>
          <w:bCs/>
          <w:sz w:val="24"/>
        </w:rPr>
        <w:t xml:space="preserve"> transformed prior to analyses.  Resulting point estimates and confidence limits were back transformed by exponentiating each value to put the estimates back on the original scales.  </w:t>
      </w:r>
    </w:p>
    <w:p w:rsidR="00DC551B" w:rsidRDefault="00DC551B" w:rsidP="000C38BB">
      <w:pPr>
        <w:rPr>
          <w:rFonts w:ascii="Times New Roman" w:hAnsi="Times New Roman" w:cs="Times New Roman"/>
          <w:bCs/>
          <w:sz w:val="24"/>
        </w:rPr>
      </w:pPr>
    </w:p>
    <w:p w:rsidR="00DC551B" w:rsidRPr="00DC551B" w:rsidRDefault="00DC551B" w:rsidP="000C38BB">
      <w:pPr>
        <w:rPr>
          <w:rFonts w:ascii="Times New Roman" w:hAnsi="Times New Roman" w:cs="Times New Roman"/>
          <w:bCs/>
          <w:sz w:val="24"/>
        </w:rPr>
      </w:pPr>
      <w:r>
        <w:rPr>
          <w:rFonts w:ascii="Times New Roman" w:hAnsi="Times New Roman" w:cs="Times New Roman"/>
          <w:bCs/>
          <w:sz w:val="24"/>
        </w:rPr>
        <w:t xml:space="preserve">The following steps were performed to </w:t>
      </w:r>
      <w:r w:rsidR="002B56D3">
        <w:rPr>
          <w:rFonts w:ascii="Times New Roman" w:hAnsi="Times New Roman" w:cs="Times New Roman"/>
          <w:bCs/>
          <w:sz w:val="24"/>
        </w:rPr>
        <w:t xml:space="preserve">calculate the SCABE limits.  </w:t>
      </w:r>
    </w:p>
    <w:p w:rsidR="00DC551B" w:rsidRDefault="00DC551B" w:rsidP="000C38BB">
      <w:pPr>
        <w:rPr>
          <w:rFonts w:ascii="Times New Roman" w:hAnsi="Times New Roman" w:cs="Times New Roman"/>
          <w:b/>
          <w:bCs/>
          <w:sz w:val="24"/>
        </w:rPr>
      </w:pPr>
    </w:p>
    <w:p w:rsidR="00DC551B" w:rsidRPr="00761E35" w:rsidRDefault="00DC551B" w:rsidP="000C38BB">
      <w:pPr>
        <w:rPr>
          <w:rFonts w:ascii="Times New Roman" w:hAnsi="Times New Roman" w:cs="Times New Roman"/>
          <w:b/>
          <w:sz w:val="24"/>
        </w:rPr>
      </w:pPr>
      <w:r w:rsidRPr="00761E35">
        <w:rPr>
          <w:rFonts w:ascii="Times New Roman" w:hAnsi="Times New Roman" w:cs="Times New Roman"/>
          <w:b/>
          <w:bCs/>
          <w:sz w:val="24"/>
        </w:rPr>
        <w:t>Step 1</w:t>
      </w:r>
      <w:r w:rsidRPr="00761E35">
        <w:rPr>
          <w:rFonts w:ascii="Times New Roman" w:hAnsi="Times New Roman" w:cs="Times New Roman"/>
          <w:b/>
          <w:sz w:val="24"/>
        </w:rPr>
        <w:t>. Determine S</w:t>
      </w:r>
      <w:r w:rsidRPr="00761E35">
        <w:rPr>
          <w:rFonts w:ascii="Times New Roman" w:hAnsi="Times New Roman" w:cs="Times New Roman"/>
          <w:b/>
          <w:sz w:val="24"/>
          <w:vertAlign w:val="subscript"/>
        </w:rPr>
        <w:t>WR</w:t>
      </w:r>
      <w:r w:rsidRPr="00761E35">
        <w:rPr>
          <w:rFonts w:ascii="Times New Roman" w:hAnsi="Times New Roman" w:cs="Times New Roman"/>
          <w:b/>
          <w:sz w:val="24"/>
        </w:rPr>
        <w:t xml:space="preserve">, the estimate of within-subject standard deviation (SD) of the reference product, for the </w:t>
      </w:r>
      <w:r w:rsidR="002B56D3" w:rsidRPr="00761E35">
        <w:rPr>
          <w:rFonts w:ascii="Times New Roman" w:hAnsi="Times New Roman" w:cs="Times New Roman"/>
          <w:b/>
          <w:sz w:val="24"/>
        </w:rPr>
        <w:t>PK</w:t>
      </w:r>
      <w:r w:rsidRPr="00761E35">
        <w:rPr>
          <w:rFonts w:ascii="Times New Roman" w:hAnsi="Times New Roman" w:cs="Times New Roman"/>
          <w:b/>
          <w:sz w:val="24"/>
        </w:rPr>
        <w:t xml:space="preserve"> parameters.</w:t>
      </w:r>
    </w:p>
    <w:p w:rsidR="00C05D13" w:rsidRDefault="00C05D13" w:rsidP="000C38BB">
      <w:pPr>
        <w:rPr>
          <w:rFonts w:ascii="Times New Roman" w:hAnsi="Times New Roman" w:cs="Times New Roman"/>
          <w:sz w:val="24"/>
        </w:rPr>
      </w:pPr>
    </w:p>
    <w:p w:rsidR="00C05D13" w:rsidRDefault="002B56D3" w:rsidP="000C38BB">
      <w:pPr>
        <w:rPr>
          <w:rFonts w:ascii="Times New Roman" w:hAnsi="Times New Roman" w:cs="Times New Roman"/>
          <w:sz w:val="24"/>
        </w:rPr>
      </w:pPr>
      <w:r>
        <w:rPr>
          <w:rFonts w:ascii="Times New Roman" w:hAnsi="Times New Roman" w:cs="Times New Roman"/>
          <w:sz w:val="24"/>
        </w:rPr>
        <w:lastRenderedPageBreak/>
        <w:t xml:space="preserve">For the 6 period </w:t>
      </w:r>
      <w:r w:rsidR="00C20699">
        <w:rPr>
          <w:rFonts w:ascii="Times New Roman" w:hAnsi="Times New Roman" w:cs="Times New Roman"/>
          <w:sz w:val="24"/>
        </w:rPr>
        <w:t xml:space="preserve">crossover </w:t>
      </w:r>
      <w:r>
        <w:rPr>
          <w:rFonts w:ascii="Times New Roman" w:hAnsi="Times New Roman" w:cs="Times New Roman"/>
          <w:sz w:val="24"/>
        </w:rPr>
        <w:t xml:space="preserve">design, a term named “REP” was created to indicate whether an observation was obtained on the first or second replication of the treatment. </w:t>
      </w:r>
      <w:r w:rsidR="00C20699">
        <w:rPr>
          <w:rFonts w:ascii="Times New Roman" w:hAnsi="Times New Roman" w:cs="Times New Roman"/>
          <w:sz w:val="24"/>
        </w:rPr>
        <w:t xml:space="preserve"> A mixed effects analysis of variance model was run with fixed effects terms of sequence, rep, and sequence by rep interaction.  The Satterwaite method for estimating degrees of freedom was used.  A random intercept model with random subject nested within sequence was used to account for the repeated measures within subject.   This model was run for each of the three products separately to obtain estimates of the within-subject standard deviation for each of the products to be used when each product was used as the reference product.  This analysis also provided the degrees of freedom for the corresponding standard deviation.</w:t>
      </w:r>
      <w:r w:rsidR="00761E35">
        <w:rPr>
          <w:rFonts w:ascii="Times New Roman" w:hAnsi="Times New Roman" w:cs="Times New Roman"/>
          <w:sz w:val="24"/>
        </w:rPr>
        <w:t xml:space="preserve">  </w:t>
      </w:r>
    </w:p>
    <w:p w:rsidR="00C05D13" w:rsidRDefault="00C05D13" w:rsidP="000C38BB">
      <w:pPr>
        <w:rPr>
          <w:rFonts w:ascii="Times New Roman" w:hAnsi="Times New Roman" w:cs="Times New Roman"/>
          <w:sz w:val="24"/>
        </w:rPr>
      </w:pPr>
    </w:p>
    <w:p w:rsidR="00C05D13" w:rsidRPr="00761E35" w:rsidRDefault="00C20699" w:rsidP="000C38BB">
      <w:pPr>
        <w:rPr>
          <w:rFonts w:ascii="Times New Roman" w:hAnsi="Times New Roman" w:cs="Times New Roman"/>
          <w:b/>
          <w:sz w:val="24"/>
        </w:rPr>
      </w:pPr>
      <w:r w:rsidRPr="00761E35">
        <w:rPr>
          <w:rFonts w:ascii="Times New Roman" w:hAnsi="Times New Roman" w:cs="Times New Roman"/>
          <w:b/>
          <w:sz w:val="24"/>
        </w:rPr>
        <w:t xml:space="preserve">Step 2:  Use the referenced-scaled procedure to determine </w:t>
      </w:r>
      <w:r w:rsidR="00CC450B">
        <w:rPr>
          <w:rFonts w:ascii="Times New Roman" w:hAnsi="Times New Roman" w:cs="Times New Roman"/>
          <w:b/>
          <w:sz w:val="24"/>
        </w:rPr>
        <w:t>criterion bound</w:t>
      </w:r>
      <w:r w:rsidRPr="00761E35">
        <w:rPr>
          <w:rFonts w:ascii="Times New Roman" w:hAnsi="Times New Roman" w:cs="Times New Roman"/>
          <w:b/>
          <w:sz w:val="24"/>
        </w:rPr>
        <w:t xml:space="preserve"> for individual PK parameter(s). </w:t>
      </w:r>
      <w:r w:rsidR="00C05D13" w:rsidRPr="00761E35">
        <w:rPr>
          <w:rFonts w:ascii="Times New Roman" w:hAnsi="Times New Roman" w:cs="Times New Roman"/>
          <w:b/>
          <w:sz w:val="24"/>
        </w:rPr>
        <w:t xml:space="preserve"> </w:t>
      </w:r>
    </w:p>
    <w:p w:rsidR="00F740A9" w:rsidRPr="00761E35" w:rsidRDefault="00F740A9" w:rsidP="000C38BB">
      <w:pPr>
        <w:rPr>
          <w:rFonts w:ascii="Times New Roman" w:hAnsi="Times New Roman" w:cs="Times New Roman"/>
          <w:sz w:val="24"/>
        </w:rPr>
      </w:pPr>
    </w:p>
    <w:p w:rsidR="00BD13FE" w:rsidRDefault="00761E35" w:rsidP="00BD13FE">
      <w:pPr>
        <w:autoSpaceDE w:val="0"/>
        <w:autoSpaceDN w:val="0"/>
        <w:adjustRightInd w:val="0"/>
        <w:rPr>
          <w:rFonts w:ascii="Times New Roman" w:eastAsia="Calibri" w:hAnsi="Times New Roman" w:cs="Times New Roman"/>
          <w:sz w:val="24"/>
          <w:shd w:val="clear" w:color="auto" w:fill="FFFFFF"/>
        </w:rPr>
      </w:pPr>
      <w:r w:rsidRPr="00761E35">
        <w:rPr>
          <w:rFonts w:ascii="Times New Roman" w:eastAsia="Calibri" w:hAnsi="Times New Roman" w:cs="Times New Roman"/>
          <w:sz w:val="24"/>
          <w:shd w:val="clear" w:color="auto" w:fill="FFFFFF"/>
        </w:rPr>
        <w:t xml:space="preserve">A mixed effect analysis of variance model was run to obtain the least square mean estimates for each of the three </w:t>
      </w:r>
      <w:r>
        <w:rPr>
          <w:rFonts w:ascii="Times New Roman" w:eastAsia="Calibri" w:hAnsi="Times New Roman" w:cs="Times New Roman"/>
          <w:sz w:val="24"/>
          <w:shd w:val="clear" w:color="auto" w:fill="FFFFFF"/>
        </w:rPr>
        <w:t>treatments</w:t>
      </w:r>
      <w:r w:rsidRPr="00761E35">
        <w:rPr>
          <w:rFonts w:ascii="Times New Roman" w:eastAsia="Calibri" w:hAnsi="Times New Roman" w:cs="Times New Roman"/>
          <w:sz w:val="24"/>
          <w:shd w:val="clear" w:color="auto" w:fill="FFFFFF"/>
        </w:rPr>
        <w:t xml:space="preserve">.  Fixed effect terms in the model included sequence, period, and </w:t>
      </w:r>
      <w:r>
        <w:rPr>
          <w:rFonts w:ascii="Times New Roman" w:eastAsia="Calibri" w:hAnsi="Times New Roman" w:cs="Times New Roman"/>
          <w:sz w:val="24"/>
          <w:shd w:val="clear" w:color="auto" w:fill="FFFFFF"/>
        </w:rPr>
        <w:t>treatment</w:t>
      </w:r>
      <w:r w:rsidRPr="00761E35">
        <w:rPr>
          <w:rFonts w:ascii="Times New Roman" w:eastAsia="Calibri" w:hAnsi="Times New Roman" w:cs="Times New Roman"/>
          <w:sz w:val="24"/>
          <w:shd w:val="clear" w:color="auto" w:fill="FFFFFF"/>
        </w:rPr>
        <w:t xml:space="preserve">.  </w:t>
      </w:r>
      <w:r>
        <w:rPr>
          <w:rFonts w:ascii="Times New Roman" w:eastAsia="Calibri" w:hAnsi="Times New Roman" w:cs="Times New Roman"/>
          <w:sz w:val="24"/>
          <w:shd w:val="clear" w:color="auto" w:fill="FFFFFF"/>
        </w:rPr>
        <w:t xml:space="preserve">The model used a random slope term and random subject nested within sequence to account for the repeated measures within a subject.  The covariance structure was allowed to vary across the treatment groups.  Degrees of freedom were estimated using the Satterwaite method and an unstructured covariance matrix was specified.  Appropriate linear contrasts were used to obtain estimates of the difference in the least square means of the log transformed data.  Corresponding two-sided 90% confidence limits were obtained.  </w:t>
      </w:r>
    </w:p>
    <w:p w:rsidR="00F50FCC" w:rsidRDefault="00F50FCC" w:rsidP="00BD13FE">
      <w:pPr>
        <w:autoSpaceDE w:val="0"/>
        <w:autoSpaceDN w:val="0"/>
        <w:adjustRightInd w:val="0"/>
        <w:rPr>
          <w:rFonts w:ascii="Times New Roman" w:eastAsia="Calibri" w:hAnsi="Times New Roman" w:cs="Times New Roman"/>
          <w:sz w:val="24"/>
          <w:shd w:val="clear" w:color="auto" w:fill="FFFFFF"/>
        </w:rPr>
      </w:pPr>
    </w:p>
    <w:p w:rsidR="00F50FCC" w:rsidRPr="00F50FCC" w:rsidRDefault="00CC450B" w:rsidP="00F50FCC">
      <w:p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The criterion bounds</w:t>
      </w:r>
      <w:r w:rsidR="00F50FCC" w:rsidRPr="00F50FCC">
        <w:rPr>
          <w:rFonts w:ascii="Times New Roman" w:eastAsia="Calibri" w:hAnsi="Times New Roman" w:cs="Times New Roman"/>
          <w:sz w:val="24"/>
          <w:shd w:val="clear" w:color="auto" w:fill="FFFFFF"/>
        </w:rPr>
        <w:t xml:space="preserve"> were calculated for each of the following BE comparisons:   Generic Hi vs. Brand, Generic Lo vs. Brand, Generic Hi vs. Generic Lo, Generic Lo vs. Generic High.</w:t>
      </w:r>
    </w:p>
    <w:p w:rsidR="00F50FCC" w:rsidRDefault="00F50FCC" w:rsidP="00BD13FE">
      <w:pPr>
        <w:autoSpaceDE w:val="0"/>
        <w:autoSpaceDN w:val="0"/>
        <w:adjustRightInd w:val="0"/>
        <w:rPr>
          <w:rFonts w:ascii="Times New Roman" w:eastAsia="Calibri" w:hAnsi="Times New Roman" w:cs="Times New Roman"/>
          <w:sz w:val="24"/>
          <w:shd w:val="clear" w:color="auto" w:fill="FFFFFF"/>
        </w:rPr>
      </w:pPr>
    </w:p>
    <w:p w:rsidR="00D55AF9" w:rsidRDefault="00D55AF9" w:rsidP="00BD13FE">
      <w:pPr>
        <w:autoSpaceDE w:val="0"/>
        <w:autoSpaceDN w:val="0"/>
        <w:adjustRightInd w:val="0"/>
        <w:rPr>
          <w:rFonts w:ascii="Times New Roman" w:eastAsia="Calibri" w:hAnsi="Times New Roman" w:cs="Times New Roman"/>
          <w:sz w:val="24"/>
          <w:shd w:val="clear" w:color="auto" w:fill="FFFFFF"/>
        </w:rPr>
      </w:pPr>
    </w:p>
    <w:p w:rsidR="00D55AF9" w:rsidRDefault="00D55AF9" w:rsidP="00BD13FE">
      <w:p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 xml:space="preserve">The </w:t>
      </w:r>
      <w:r w:rsidR="00CC450B">
        <w:rPr>
          <w:rFonts w:ascii="Times New Roman" w:eastAsia="Calibri" w:hAnsi="Times New Roman" w:cs="Times New Roman"/>
          <w:sz w:val="24"/>
          <w:shd w:val="clear" w:color="auto" w:fill="FFFFFF"/>
        </w:rPr>
        <w:t>criterion bound</w:t>
      </w:r>
      <w:r>
        <w:rPr>
          <w:rFonts w:ascii="Times New Roman" w:eastAsia="Calibri" w:hAnsi="Times New Roman" w:cs="Times New Roman"/>
          <w:sz w:val="24"/>
          <w:shd w:val="clear" w:color="auto" w:fill="FFFFFF"/>
        </w:rPr>
        <w:t xml:space="preserve"> was calculated as follows:</w:t>
      </w:r>
    </w:p>
    <w:p w:rsidR="00D55AF9" w:rsidRDefault="00D55AF9" w:rsidP="00BD13FE">
      <w:pPr>
        <w:autoSpaceDE w:val="0"/>
        <w:autoSpaceDN w:val="0"/>
        <w:adjustRightInd w:val="0"/>
        <w:rPr>
          <w:rFonts w:ascii="Times New Roman" w:eastAsia="Calibri" w:hAnsi="Times New Roman" w:cs="Times New Roman"/>
          <w:sz w:val="24"/>
          <w:shd w:val="clear" w:color="auto" w:fill="FFFFFF"/>
        </w:rPr>
      </w:pPr>
    </w:p>
    <w:p w:rsidR="00D55AF9" w:rsidRDefault="00D55AF9" w:rsidP="00DE103F">
      <w:pPr>
        <w:autoSpaceDE w:val="0"/>
        <w:autoSpaceDN w:val="0"/>
        <w:adjustRightInd w:val="0"/>
        <w:jc w:val="center"/>
        <w:rPr>
          <w:rFonts w:ascii="Times New Roman" w:eastAsia="Calibri" w:hAnsi="Times New Roman" w:cs="Times New Roman"/>
          <w:sz w:val="24"/>
          <w:shd w:val="clear" w:color="auto" w:fill="FFFFFF"/>
        </w:rPr>
      </w:pPr>
      <m:oMath>
        <m:r>
          <w:rPr>
            <w:rFonts w:ascii="Cambria Math" w:eastAsia="Calibri" w:hAnsi="Cambria Math" w:cs="Times New Roman"/>
            <w:sz w:val="24"/>
            <w:shd w:val="clear" w:color="auto" w:fill="FFFFFF"/>
          </w:rPr>
          <m:t>θ=</m:t>
        </m:r>
        <m:sSup>
          <m:sSupPr>
            <m:ctrlPr>
              <w:rPr>
                <w:rFonts w:ascii="Cambria Math" w:eastAsia="Calibri" w:hAnsi="Cambria Math" w:cs="Times New Roman"/>
                <w:i/>
                <w:sz w:val="24"/>
                <w:shd w:val="clear" w:color="auto" w:fill="FFFFFF"/>
              </w:rPr>
            </m:ctrlPr>
          </m:sSupPr>
          <m:e>
            <m:d>
              <m:dPr>
                <m:ctrlPr>
                  <w:rPr>
                    <w:rFonts w:ascii="Cambria Math" w:eastAsia="Calibri" w:hAnsi="Cambria Math" w:cs="Times New Roman"/>
                    <w:i/>
                    <w:sz w:val="24"/>
                    <w:shd w:val="clear" w:color="auto" w:fill="FFFFFF"/>
                  </w:rPr>
                </m:ctrlPr>
              </m:dPr>
              <m:e>
                <m:f>
                  <m:fPr>
                    <m:ctrlPr>
                      <w:rPr>
                        <w:rFonts w:ascii="Cambria Math" w:eastAsia="Calibri" w:hAnsi="Cambria Math" w:cs="Times New Roman"/>
                        <w:i/>
                        <w:sz w:val="24"/>
                        <w:shd w:val="clear" w:color="auto" w:fill="FFFFFF"/>
                      </w:rPr>
                    </m:ctrlPr>
                  </m:fPr>
                  <m:num>
                    <m:r>
                      <m:rPr>
                        <m:sty m:val="p"/>
                      </m:rPr>
                      <w:rPr>
                        <w:rFonts w:ascii="Cambria Math" w:eastAsia="Calibri" w:hAnsi="Cambria Math" w:cs="Times New Roman"/>
                        <w:sz w:val="24"/>
                        <w:shd w:val="clear" w:color="auto" w:fill="FFFFFF"/>
                      </w:rPr>
                      <m:t>ln⁡</m:t>
                    </m:r>
                    <m:r>
                      <w:rPr>
                        <w:rFonts w:ascii="Cambria Math" w:eastAsia="Calibri" w:hAnsi="Cambria Math" w:cs="Times New Roman"/>
                        <w:sz w:val="24"/>
                        <w:shd w:val="clear" w:color="auto" w:fill="FFFFFF"/>
                      </w:rPr>
                      <m:t>(∆)</m:t>
                    </m:r>
                  </m:num>
                  <m:den>
                    <m:sSub>
                      <m:sSubPr>
                        <m:ctrlPr>
                          <w:rPr>
                            <w:rFonts w:ascii="Cambria Math" w:eastAsia="Calibri" w:hAnsi="Cambria Math" w:cs="Times New Roman"/>
                            <w:i/>
                            <w:sz w:val="24"/>
                            <w:shd w:val="clear" w:color="auto" w:fill="FFFFFF"/>
                          </w:rPr>
                        </m:ctrlPr>
                      </m:sSubPr>
                      <m:e>
                        <m:r>
                          <w:rPr>
                            <w:rFonts w:ascii="Cambria Math" w:eastAsia="Calibri" w:hAnsi="Cambria Math" w:cs="Times New Roman"/>
                            <w:sz w:val="24"/>
                            <w:shd w:val="clear" w:color="auto" w:fill="FFFFFF"/>
                          </w:rPr>
                          <m:t>σ</m:t>
                        </m:r>
                      </m:e>
                      <m:sub>
                        <m:r>
                          <w:rPr>
                            <w:rFonts w:ascii="Cambria Math" w:eastAsia="Calibri" w:hAnsi="Cambria Math" w:cs="Times New Roman"/>
                            <w:sz w:val="24"/>
                            <w:shd w:val="clear" w:color="auto" w:fill="FFFFFF"/>
                          </w:rPr>
                          <m:t>w0</m:t>
                        </m:r>
                      </m:sub>
                    </m:sSub>
                  </m:den>
                </m:f>
              </m:e>
            </m:d>
          </m:e>
          <m:sup>
            <m:r>
              <w:rPr>
                <w:rFonts w:ascii="Cambria Math" w:eastAsia="Calibri" w:hAnsi="Cambria Math" w:cs="Times New Roman"/>
                <w:sz w:val="24"/>
                <w:shd w:val="clear" w:color="auto" w:fill="FFFFFF"/>
              </w:rPr>
              <m:t>2</m:t>
            </m:r>
          </m:sup>
        </m:sSup>
      </m:oMath>
      <w:r>
        <w:rPr>
          <w:rFonts w:ascii="Times New Roman" w:eastAsia="Calibri" w:hAnsi="Times New Roman" w:cs="Times New Roman"/>
          <w:sz w:val="24"/>
          <w:shd w:val="clear" w:color="auto" w:fill="FFFFFF"/>
        </w:rPr>
        <w:t xml:space="preserve"> where  </w:t>
      </w:r>
      <m:oMath>
        <m:sSub>
          <m:sSubPr>
            <m:ctrlPr>
              <w:rPr>
                <w:rFonts w:ascii="Cambria Math" w:eastAsia="Calibri" w:hAnsi="Cambria Math" w:cs="Times New Roman"/>
                <w:i/>
                <w:sz w:val="24"/>
                <w:shd w:val="clear" w:color="auto" w:fill="FFFFFF"/>
              </w:rPr>
            </m:ctrlPr>
          </m:sSubPr>
          <m:e>
            <m:r>
              <w:rPr>
                <w:rFonts w:ascii="Cambria Math" w:eastAsia="Calibri" w:hAnsi="Cambria Math" w:cs="Times New Roman"/>
                <w:sz w:val="24"/>
                <w:shd w:val="clear" w:color="auto" w:fill="FFFFFF"/>
              </w:rPr>
              <m:t>σ</m:t>
            </m:r>
          </m:e>
          <m:sub>
            <m:r>
              <w:rPr>
                <w:rFonts w:ascii="Cambria Math" w:eastAsia="Calibri" w:hAnsi="Cambria Math" w:cs="Times New Roman"/>
                <w:sz w:val="24"/>
                <w:shd w:val="clear" w:color="auto" w:fill="FFFFFF"/>
              </w:rPr>
              <m:t>w0</m:t>
            </m:r>
          </m:sub>
        </m:sSub>
        <m:r>
          <w:rPr>
            <w:rFonts w:ascii="Cambria Math" w:eastAsia="Calibri" w:hAnsi="Cambria Math" w:cs="Times New Roman"/>
            <w:sz w:val="24"/>
            <w:shd w:val="clear" w:color="auto" w:fill="FFFFFF"/>
          </w:rPr>
          <m:t>=0.10</m:t>
        </m:r>
      </m:oMath>
      <w:r>
        <w:rPr>
          <w:rFonts w:ascii="Times New Roman" w:eastAsia="Calibri" w:hAnsi="Times New Roman" w:cs="Times New Roman"/>
          <w:sz w:val="24"/>
          <w:shd w:val="clear" w:color="auto" w:fill="FFFFFF"/>
        </w:rPr>
        <w:t xml:space="preserve"> and </w:t>
      </w:r>
      <m:oMath>
        <m:r>
          <w:rPr>
            <w:rFonts w:ascii="Cambria Math" w:eastAsia="Calibri" w:hAnsi="Cambria Math" w:cs="Times New Roman"/>
            <w:sz w:val="24"/>
            <w:shd w:val="clear" w:color="auto" w:fill="FFFFFF"/>
          </w:rPr>
          <m:t>∆=1/0.9</m:t>
        </m:r>
      </m:oMath>
      <w:r>
        <w:rPr>
          <w:rFonts w:ascii="Times New Roman" w:eastAsia="Calibri" w:hAnsi="Times New Roman" w:cs="Times New Roman"/>
          <w:sz w:val="24"/>
          <w:shd w:val="clear" w:color="auto" w:fill="FFFFFF"/>
        </w:rPr>
        <w:t>.</w:t>
      </w:r>
    </w:p>
    <w:p w:rsidR="00D55AF9" w:rsidRDefault="00D55AF9" w:rsidP="00BD13FE">
      <w:pPr>
        <w:autoSpaceDE w:val="0"/>
        <w:autoSpaceDN w:val="0"/>
        <w:adjustRightInd w:val="0"/>
        <w:rPr>
          <w:rFonts w:ascii="Times New Roman" w:eastAsia="Calibri" w:hAnsi="Times New Roman" w:cs="Times New Roman"/>
          <w:sz w:val="24"/>
          <w:shd w:val="clear" w:color="auto" w:fill="FFFFFF"/>
        </w:rPr>
      </w:pPr>
    </w:p>
    <w:p w:rsidR="005C0D98" w:rsidRDefault="00D55AF9" w:rsidP="00BD13FE">
      <w:p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The 95% upper confidence bound was calculated for the following</w:t>
      </w:r>
      <w:r w:rsidR="005C0D98">
        <w:rPr>
          <w:rFonts w:ascii="Times New Roman" w:eastAsia="Calibri" w:hAnsi="Times New Roman" w:cs="Times New Roman"/>
          <w:sz w:val="24"/>
          <w:shd w:val="clear" w:color="auto" w:fill="FFFFFF"/>
        </w:rPr>
        <w:t xml:space="preserve">:  </w:t>
      </w:r>
      <w:r>
        <w:rPr>
          <w:rFonts w:ascii="Times New Roman" w:eastAsia="Calibri" w:hAnsi="Times New Roman" w:cs="Times New Roman"/>
          <w:sz w:val="24"/>
          <w:shd w:val="clear" w:color="auto" w:fill="FFFFFF"/>
        </w:rPr>
        <w:t xml:space="preserve"> </w:t>
      </w:r>
    </w:p>
    <w:p w:rsidR="00407AF6" w:rsidRDefault="00407AF6" w:rsidP="00BD13FE">
      <w:pPr>
        <w:autoSpaceDE w:val="0"/>
        <w:autoSpaceDN w:val="0"/>
        <w:adjustRightInd w:val="0"/>
        <w:rPr>
          <w:rFonts w:ascii="Times New Roman" w:eastAsia="Calibri" w:hAnsi="Times New Roman" w:cs="Times New Roman"/>
          <w:sz w:val="24"/>
          <w:shd w:val="clear" w:color="auto" w:fill="FFFFFF"/>
        </w:rPr>
      </w:pPr>
    </w:p>
    <w:p w:rsidR="005C0D98" w:rsidRPr="00DE103F" w:rsidRDefault="001D78FF" w:rsidP="00E12B5C">
      <w:pPr>
        <w:autoSpaceDE w:val="0"/>
        <w:autoSpaceDN w:val="0"/>
        <w:adjustRightInd w:val="0"/>
        <w:jc w:val="center"/>
        <w:rPr>
          <w:rFonts w:ascii="Times New Roman" w:eastAsia="Calibri" w:hAnsi="Times New Roman" w:cs="Times New Roman"/>
          <w:sz w:val="24"/>
          <w:shd w:val="clear" w:color="auto" w:fill="FFFFFF"/>
        </w:rPr>
      </w:pPr>
      <m:oMath>
        <m:sSup>
          <m:sSupPr>
            <m:ctrlPr>
              <w:rPr>
                <w:rFonts w:ascii="Cambria Math" w:eastAsia="Calibri" w:hAnsi="Cambria Math" w:cs="Times New Roman"/>
                <w:i/>
                <w:sz w:val="24"/>
                <w:shd w:val="clear" w:color="auto" w:fill="FFFFFF"/>
              </w:rPr>
            </m:ctrlPr>
          </m:sSupPr>
          <m:e>
            <m:d>
              <m:dPr>
                <m:ctrlPr>
                  <w:rPr>
                    <w:rFonts w:ascii="Cambria Math" w:eastAsia="Calibri" w:hAnsi="Cambria Math" w:cs="Times New Roman"/>
                    <w:i/>
                    <w:sz w:val="24"/>
                    <w:shd w:val="clear" w:color="auto" w:fill="FFFFFF"/>
                  </w:rPr>
                </m:ctrlPr>
              </m:dPr>
              <m:e>
                <m:sSub>
                  <m:sSubPr>
                    <m:ctrlPr>
                      <w:rPr>
                        <w:rFonts w:ascii="Cambria Math" w:eastAsia="Calibri" w:hAnsi="Cambria Math" w:cs="Times New Roman"/>
                        <w:i/>
                        <w:sz w:val="24"/>
                        <w:shd w:val="clear" w:color="auto" w:fill="FFFFFF"/>
                      </w:rPr>
                    </m:ctrlPr>
                  </m:sSubPr>
                  <m:e>
                    <m:acc>
                      <m:accPr>
                        <m:chr m:val="̅"/>
                        <m:ctrlPr>
                          <w:rPr>
                            <w:rFonts w:ascii="Cambria Math" w:eastAsia="Calibri" w:hAnsi="Cambria Math" w:cs="Times New Roman"/>
                            <w:i/>
                            <w:sz w:val="24"/>
                            <w:shd w:val="clear" w:color="auto" w:fill="FFFFFF"/>
                          </w:rPr>
                        </m:ctrlPr>
                      </m:accPr>
                      <m:e>
                        <m:r>
                          <w:rPr>
                            <w:rFonts w:ascii="Cambria Math" w:eastAsia="Calibri" w:hAnsi="Cambria Math" w:cs="Times New Roman"/>
                            <w:sz w:val="24"/>
                            <w:shd w:val="clear" w:color="auto" w:fill="FFFFFF"/>
                          </w:rPr>
                          <m:t>Y</m:t>
                        </m:r>
                      </m:e>
                    </m:acc>
                  </m:e>
                  <m:sub>
                    <m:r>
                      <w:rPr>
                        <w:rFonts w:ascii="Cambria Math" w:eastAsia="Calibri" w:hAnsi="Cambria Math" w:cs="Times New Roman"/>
                        <w:sz w:val="24"/>
                        <w:shd w:val="clear" w:color="auto" w:fill="FFFFFF"/>
                      </w:rPr>
                      <m:t>T</m:t>
                    </m:r>
                  </m:sub>
                </m:sSub>
                <m:r>
                  <w:rPr>
                    <w:rFonts w:ascii="Cambria Math" w:eastAsia="Calibri" w:hAnsi="Cambria Math" w:cs="Times New Roman"/>
                    <w:sz w:val="24"/>
                    <w:shd w:val="clear" w:color="auto" w:fill="FFFFFF"/>
                  </w:rPr>
                  <m:t>-</m:t>
                </m:r>
                <m:sSub>
                  <m:sSubPr>
                    <m:ctrlPr>
                      <w:rPr>
                        <w:rFonts w:ascii="Cambria Math" w:eastAsia="Calibri" w:hAnsi="Cambria Math" w:cs="Times New Roman"/>
                        <w:i/>
                        <w:sz w:val="24"/>
                        <w:shd w:val="clear" w:color="auto" w:fill="FFFFFF"/>
                      </w:rPr>
                    </m:ctrlPr>
                  </m:sSubPr>
                  <m:e>
                    <m:acc>
                      <m:accPr>
                        <m:chr m:val="̅"/>
                        <m:ctrlPr>
                          <w:rPr>
                            <w:rFonts w:ascii="Cambria Math" w:eastAsia="Calibri" w:hAnsi="Cambria Math" w:cs="Times New Roman"/>
                            <w:i/>
                            <w:sz w:val="24"/>
                            <w:shd w:val="clear" w:color="auto" w:fill="FFFFFF"/>
                          </w:rPr>
                        </m:ctrlPr>
                      </m:accPr>
                      <m:e>
                        <m:r>
                          <w:rPr>
                            <w:rFonts w:ascii="Cambria Math" w:eastAsia="Calibri" w:hAnsi="Cambria Math" w:cs="Times New Roman"/>
                            <w:sz w:val="24"/>
                            <w:shd w:val="clear" w:color="auto" w:fill="FFFFFF"/>
                          </w:rPr>
                          <m:t>Y</m:t>
                        </m:r>
                      </m:e>
                    </m:acc>
                  </m:e>
                  <m:sub>
                    <m:r>
                      <w:rPr>
                        <w:rFonts w:ascii="Cambria Math" w:eastAsia="Calibri" w:hAnsi="Cambria Math" w:cs="Times New Roman"/>
                        <w:sz w:val="24"/>
                        <w:shd w:val="clear" w:color="auto" w:fill="FFFFFF"/>
                      </w:rPr>
                      <m:t>R</m:t>
                    </m:r>
                  </m:sub>
                </m:sSub>
              </m:e>
            </m:d>
          </m:e>
          <m:sup>
            <m:r>
              <w:rPr>
                <w:rFonts w:ascii="Cambria Math" w:eastAsia="Calibri" w:hAnsi="Cambria Math" w:cs="Times New Roman"/>
                <w:sz w:val="24"/>
                <w:shd w:val="clear" w:color="auto" w:fill="FFFFFF"/>
              </w:rPr>
              <m:t>2</m:t>
            </m:r>
          </m:sup>
        </m:sSup>
        <m:r>
          <w:rPr>
            <w:rFonts w:ascii="Cambria Math" w:eastAsia="Calibri" w:hAnsi="Cambria Math" w:cs="Times New Roman"/>
            <w:sz w:val="24"/>
            <w:shd w:val="clear" w:color="auto" w:fill="FFFFFF"/>
          </w:rPr>
          <m:t>- θ</m:t>
        </m:r>
        <m:sSubSup>
          <m:sSubSupPr>
            <m:ctrlPr>
              <w:rPr>
                <w:rFonts w:ascii="Cambria Math" w:eastAsia="Calibri" w:hAnsi="Cambria Math" w:cs="Times New Roman"/>
                <w:i/>
                <w:sz w:val="24"/>
                <w:shd w:val="clear" w:color="auto" w:fill="FFFFFF"/>
              </w:rPr>
            </m:ctrlPr>
          </m:sSubSupPr>
          <m:e>
            <m:r>
              <w:rPr>
                <w:rFonts w:ascii="Cambria Math" w:eastAsia="Calibri" w:hAnsi="Cambria Math" w:cs="Times New Roman"/>
                <w:sz w:val="24"/>
                <w:shd w:val="clear" w:color="auto" w:fill="FFFFFF"/>
              </w:rPr>
              <m:t>s</m:t>
            </m:r>
          </m:e>
          <m:sub>
            <m:r>
              <w:rPr>
                <w:rFonts w:ascii="Cambria Math" w:eastAsia="Calibri" w:hAnsi="Cambria Math" w:cs="Times New Roman"/>
                <w:sz w:val="24"/>
                <w:shd w:val="clear" w:color="auto" w:fill="FFFFFF"/>
              </w:rPr>
              <m:t>WR</m:t>
            </m:r>
          </m:sub>
          <m:sup>
            <m:r>
              <w:rPr>
                <w:rFonts w:ascii="Cambria Math" w:eastAsia="Calibri" w:hAnsi="Cambria Math" w:cs="Times New Roman"/>
                <w:sz w:val="24"/>
                <w:shd w:val="clear" w:color="auto" w:fill="FFFFFF"/>
              </w:rPr>
              <m:t>2</m:t>
            </m:r>
          </m:sup>
        </m:sSubSup>
      </m:oMath>
      <w:r w:rsidR="00E12B5C">
        <w:rPr>
          <w:rFonts w:ascii="Times New Roman" w:eastAsia="Calibri" w:hAnsi="Times New Roman" w:cs="Times New Roman"/>
          <w:sz w:val="24"/>
          <w:shd w:val="clear" w:color="auto" w:fill="FFFFFF"/>
        </w:rPr>
        <w:t xml:space="preserve">  (which we defined as X + Y)</w:t>
      </w:r>
    </w:p>
    <w:p w:rsidR="005C0D98" w:rsidRDefault="005C0D98" w:rsidP="00BD13FE">
      <w:pPr>
        <w:autoSpaceDE w:val="0"/>
        <w:autoSpaceDN w:val="0"/>
        <w:adjustRightInd w:val="0"/>
        <w:rPr>
          <w:rFonts w:ascii="Times New Roman" w:eastAsia="Calibri" w:hAnsi="Times New Roman" w:cs="Times New Roman"/>
          <w:sz w:val="24"/>
          <w:shd w:val="clear" w:color="auto" w:fill="FFFFFF"/>
        </w:rPr>
      </w:pPr>
    </w:p>
    <w:p w:rsidR="009E2778" w:rsidRDefault="00E12B5C" w:rsidP="005C0D98">
      <w:p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The following provides the details for estimating the upper confidence bound:</w:t>
      </w:r>
    </w:p>
    <w:p w:rsidR="009E2778" w:rsidRDefault="009E2778" w:rsidP="009E2778">
      <w:pPr>
        <w:autoSpaceDE w:val="0"/>
        <w:autoSpaceDN w:val="0"/>
        <w:adjustRightInd w:val="0"/>
        <w:rPr>
          <w:rFonts w:ascii="Courier New" w:eastAsia="Calibri" w:hAnsi="Courier New" w:cs="Courier New"/>
          <w:sz w:val="20"/>
          <w:szCs w:val="20"/>
          <w:shd w:val="clear" w:color="auto" w:fill="FFFFFF"/>
        </w:rPr>
      </w:pPr>
    </w:p>
    <w:p w:rsidR="00E12B5C" w:rsidRPr="00E12B5C" w:rsidRDefault="00E12B5C" w:rsidP="009E2778">
      <w:pPr>
        <w:autoSpaceDE w:val="0"/>
        <w:autoSpaceDN w:val="0"/>
        <w:adjustRightInd w:val="0"/>
        <w:rPr>
          <w:rFonts w:ascii="Courier New" w:eastAsia="Calibri" w:hAnsi="Courier New" w:cs="Courier New"/>
          <w:i/>
          <w:sz w:val="20"/>
          <w:szCs w:val="20"/>
          <w:shd w:val="clear" w:color="auto" w:fill="FFFFFF"/>
        </w:rPr>
      </w:pPr>
    </w:p>
    <w:p w:rsidR="009E2778" w:rsidRPr="009E2778" w:rsidRDefault="00E12B5C" w:rsidP="009E2778">
      <w:p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X</w:t>
      </w:r>
      <w:r w:rsidR="009E2778" w:rsidRPr="009E2778">
        <w:rPr>
          <w:rFonts w:ascii="Times New Roman" w:eastAsia="Calibri" w:hAnsi="Times New Roman" w:cs="Times New Roman"/>
          <w:sz w:val="24"/>
          <w:shd w:val="clear" w:color="auto" w:fill="FFFFFF"/>
        </w:rPr>
        <w:t>=ESTIMATE**</w:t>
      </w:r>
      <w:r w:rsidR="009E2778" w:rsidRPr="009E2778">
        <w:rPr>
          <w:rFonts w:ascii="Times New Roman" w:eastAsia="Calibri" w:hAnsi="Times New Roman" w:cs="Times New Roman"/>
          <w:b/>
          <w:bCs/>
          <w:color w:val="008080"/>
          <w:sz w:val="24"/>
          <w:shd w:val="clear" w:color="auto" w:fill="FFFFFF"/>
        </w:rPr>
        <w:t>2</w:t>
      </w:r>
      <w:r w:rsidR="009E2778" w:rsidRPr="009E2778">
        <w:rPr>
          <w:rFonts w:ascii="Times New Roman" w:eastAsia="Calibri" w:hAnsi="Times New Roman" w:cs="Times New Roman"/>
          <w:sz w:val="24"/>
          <w:shd w:val="clear" w:color="auto" w:fill="FFFFFF"/>
        </w:rPr>
        <w:t xml:space="preserve"> - STDERR**</w:t>
      </w:r>
      <w:r w:rsidR="009E2778" w:rsidRPr="009E2778">
        <w:rPr>
          <w:rFonts w:ascii="Times New Roman" w:eastAsia="Calibri" w:hAnsi="Times New Roman" w:cs="Times New Roman"/>
          <w:b/>
          <w:bCs/>
          <w:color w:val="008080"/>
          <w:sz w:val="24"/>
          <w:shd w:val="clear" w:color="auto" w:fill="FFFFFF"/>
        </w:rPr>
        <w:t>2</w:t>
      </w:r>
      <w:r w:rsidR="009E2778" w:rsidRPr="009E2778">
        <w:rPr>
          <w:rFonts w:ascii="Times New Roman" w:eastAsia="Calibri" w:hAnsi="Times New Roman" w:cs="Times New Roman"/>
          <w:sz w:val="24"/>
          <w:shd w:val="clear" w:color="auto" w:fill="FFFFFF"/>
        </w:rPr>
        <w:t>;</w:t>
      </w:r>
    </w:p>
    <w:p w:rsidR="009E2778" w:rsidRPr="009E2778" w:rsidRDefault="00A356A2" w:rsidP="009E2778">
      <w:p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BOUND</w:t>
      </w:r>
      <w:r w:rsidR="009E2778" w:rsidRPr="009E2778">
        <w:rPr>
          <w:rFonts w:ascii="Times New Roman" w:eastAsia="Calibri" w:hAnsi="Times New Roman" w:cs="Times New Roman"/>
          <w:sz w:val="24"/>
          <w:shd w:val="clear" w:color="auto" w:fill="FFFFFF"/>
        </w:rPr>
        <w:t>=(max((abs(LOWER)), (abs(UPPER))));</w:t>
      </w:r>
    </w:p>
    <w:p w:rsidR="009E2778" w:rsidRPr="009E2778" w:rsidRDefault="00A356A2" w:rsidP="009E2778">
      <w:p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BOUNDX</w:t>
      </w:r>
      <w:r w:rsidR="009E2778" w:rsidRPr="009E2778">
        <w:rPr>
          <w:rFonts w:ascii="Times New Roman" w:eastAsia="Calibri" w:hAnsi="Times New Roman" w:cs="Times New Roman"/>
          <w:sz w:val="24"/>
          <w:shd w:val="clear" w:color="auto" w:fill="FFFFFF"/>
        </w:rPr>
        <w:t>=</w:t>
      </w:r>
      <w:r>
        <w:rPr>
          <w:rFonts w:ascii="Times New Roman" w:eastAsia="Calibri" w:hAnsi="Times New Roman" w:cs="Times New Roman"/>
          <w:sz w:val="24"/>
          <w:shd w:val="clear" w:color="auto" w:fill="FFFFFF"/>
        </w:rPr>
        <w:t>BOUND</w:t>
      </w:r>
      <w:r w:rsidR="009E2778" w:rsidRPr="009E2778">
        <w:rPr>
          <w:rFonts w:ascii="Times New Roman" w:eastAsia="Calibri" w:hAnsi="Times New Roman" w:cs="Times New Roman"/>
          <w:sz w:val="24"/>
          <w:shd w:val="clear" w:color="auto" w:fill="FFFFFF"/>
        </w:rPr>
        <w:t>**</w:t>
      </w:r>
      <w:r w:rsidR="009E2778" w:rsidRPr="009E2778">
        <w:rPr>
          <w:rFonts w:ascii="Times New Roman" w:eastAsia="Calibri" w:hAnsi="Times New Roman" w:cs="Times New Roman"/>
          <w:b/>
          <w:bCs/>
          <w:color w:val="008080"/>
          <w:sz w:val="24"/>
          <w:shd w:val="clear" w:color="auto" w:fill="FFFFFF"/>
        </w:rPr>
        <w:t>2</w:t>
      </w:r>
      <w:r w:rsidR="009E2778" w:rsidRPr="009E2778">
        <w:rPr>
          <w:rFonts w:ascii="Times New Roman" w:eastAsia="Calibri" w:hAnsi="Times New Roman" w:cs="Times New Roman"/>
          <w:sz w:val="24"/>
          <w:shd w:val="clear" w:color="auto" w:fill="FFFFFF"/>
        </w:rPr>
        <w:t>;</w:t>
      </w:r>
    </w:p>
    <w:p w:rsidR="009E2778" w:rsidRPr="009E2778" w:rsidRDefault="009E2778" w:rsidP="009E2778">
      <w:pPr>
        <w:autoSpaceDE w:val="0"/>
        <w:autoSpaceDN w:val="0"/>
        <w:adjustRightInd w:val="0"/>
        <w:rPr>
          <w:rFonts w:ascii="Times New Roman" w:eastAsia="Calibri" w:hAnsi="Times New Roman" w:cs="Times New Roman"/>
          <w:sz w:val="24"/>
          <w:shd w:val="clear" w:color="auto" w:fill="FFFFFF"/>
        </w:rPr>
      </w:pPr>
    </w:p>
    <w:p w:rsidR="009E2778" w:rsidRPr="009E2778" w:rsidRDefault="009E2778" w:rsidP="009E2778">
      <w:pPr>
        <w:autoSpaceDE w:val="0"/>
        <w:autoSpaceDN w:val="0"/>
        <w:adjustRightInd w:val="0"/>
        <w:rPr>
          <w:rFonts w:ascii="Times New Roman" w:eastAsia="Calibri" w:hAnsi="Times New Roman" w:cs="Times New Roman"/>
          <w:sz w:val="24"/>
          <w:shd w:val="clear" w:color="auto" w:fill="FFFFFF"/>
        </w:rPr>
      </w:pPr>
      <w:r w:rsidRPr="009E2778">
        <w:rPr>
          <w:rFonts w:ascii="Times New Roman" w:eastAsia="Calibri" w:hAnsi="Times New Roman" w:cs="Times New Roman"/>
          <w:sz w:val="24"/>
          <w:shd w:val="clear" w:color="auto" w:fill="FFFFFF"/>
        </w:rPr>
        <w:t>where the estimate of the difference in means (ESTIMATE) and the standard error of the difference (STDERR) was obtained from the difference in the least square means of the log transformed data from the mixed effects model described in Step</w:t>
      </w:r>
      <w:r w:rsidR="007D26E2">
        <w:rPr>
          <w:rFonts w:ascii="Times New Roman" w:eastAsia="Calibri" w:hAnsi="Times New Roman" w:cs="Times New Roman"/>
          <w:sz w:val="24"/>
          <w:shd w:val="clear" w:color="auto" w:fill="FFFFFF"/>
        </w:rPr>
        <w:t>s 1 and</w:t>
      </w:r>
      <w:r w:rsidRPr="009E2778">
        <w:rPr>
          <w:rFonts w:ascii="Times New Roman" w:eastAsia="Calibri" w:hAnsi="Times New Roman" w:cs="Times New Roman"/>
          <w:sz w:val="24"/>
          <w:shd w:val="clear" w:color="auto" w:fill="FFFFFF"/>
        </w:rPr>
        <w:t xml:space="preserve"> 2.  This model also provided the values for the 90% confidence limits (LOWER, UPPER).  </w:t>
      </w:r>
    </w:p>
    <w:p w:rsidR="009E2778" w:rsidRDefault="009E2778" w:rsidP="009E2778">
      <w:pPr>
        <w:autoSpaceDE w:val="0"/>
        <w:autoSpaceDN w:val="0"/>
        <w:adjustRightInd w:val="0"/>
        <w:rPr>
          <w:rFonts w:ascii="Courier New" w:eastAsia="Calibri" w:hAnsi="Courier New" w:cs="Courier New"/>
          <w:sz w:val="20"/>
          <w:szCs w:val="20"/>
          <w:shd w:val="clear" w:color="auto" w:fill="FFFFFF"/>
        </w:rPr>
      </w:pPr>
    </w:p>
    <w:p w:rsidR="009E2778" w:rsidRDefault="009E2778" w:rsidP="009E2778">
      <w:pPr>
        <w:autoSpaceDE w:val="0"/>
        <w:autoSpaceDN w:val="0"/>
        <w:adjustRightInd w:val="0"/>
        <w:rPr>
          <w:rFonts w:ascii="Courier New" w:eastAsia="Calibri" w:hAnsi="Courier New" w:cs="Courier New"/>
          <w:sz w:val="20"/>
          <w:szCs w:val="20"/>
          <w:shd w:val="clear" w:color="auto" w:fill="FFFFFF"/>
        </w:rPr>
      </w:pPr>
    </w:p>
    <w:p w:rsidR="00A356A2" w:rsidRDefault="00E12B5C" w:rsidP="009E2778">
      <w:p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Y</w:t>
      </w:r>
      <w:r w:rsidR="009E2778" w:rsidRPr="00E12B5C">
        <w:rPr>
          <w:rFonts w:ascii="Times New Roman" w:eastAsia="Calibri" w:hAnsi="Times New Roman" w:cs="Times New Roman"/>
          <w:sz w:val="24"/>
          <w:shd w:val="clear" w:color="auto" w:fill="FFFFFF"/>
        </w:rPr>
        <w:t>=</w:t>
      </w:r>
      <w:r>
        <w:rPr>
          <w:rFonts w:ascii="Times New Roman" w:eastAsia="Calibri" w:hAnsi="Times New Roman" w:cs="Times New Roman"/>
          <w:sz w:val="24"/>
          <w:shd w:val="clear" w:color="auto" w:fill="FFFFFF"/>
        </w:rPr>
        <w:t xml:space="preserve"> </w:t>
      </w:r>
      <w:r w:rsidR="009E2778" w:rsidRPr="00E12B5C">
        <w:rPr>
          <w:rFonts w:ascii="Times New Roman" w:eastAsia="Calibri" w:hAnsi="Times New Roman" w:cs="Times New Roman"/>
          <w:sz w:val="24"/>
          <w:shd w:val="clear" w:color="auto" w:fill="FFFFFF"/>
        </w:rPr>
        <w:t>-</w:t>
      </w:r>
      <w:r>
        <w:rPr>
          <w:rFonts w:ascii="Times New Roman" w:eastAsia="Calibri" w:hAnsi="Times New Roman" w:cs="Times New Roman"/>
          <w:sz w:val="24"/>
          <w:shd w:val="clear" w:color="auto" w:fill="FFFFFF"/>
        </w:rPr>
        <w:t>θ</w:t>
      </w:r>
      <w:r w:rsidR="009E2778" w:rsidRPr="00E12B5C">
        <w:rPr>
          <w:rFonts w:ascii="Times New Roman" w:eastAsia="Calibri" w:hAnsi="Times New Roman" w:cs="Times New Roman"/>
          <w:sz w:val="24"/>
          <w:shd w:val="clear" w:color="auto" w:fill="FFFFFF"/>
        </w:rPr>
        <w:t>*</w:t>
      </w:r>
      <w:r>
        <w:rPr>
          <w:rFonts w:ascii="Times New Roman" w:eastAsia="Calibri" w:hAnsi="Times New Roman" w:cs="Times New Roman"/>
          <w:sz w:val="24"/>
          <w:shd w:val="clear" w:color="auto" w:fill="FFFFFF"/>
        </w:rPr>
        <w:t>S</w:t>
      </w:r>
      <w:r w:rsidR="009E2778" w:rsidRPr="00E12B5C">
        <w:rPr>
          <w:rFonts w:ascii="Times New Roman" w:eastAsia="Calibri" w:hAnsi="Times New Roman" w:cs="Times New Roman"/>
          <w:sz w:val="24"/>
          <w:shd w:val="clear" w:color="auto" w:fill="FFFFFF"/>
          <w:vertAlign w:val="superscript"/>
        </w:rPr>
        <w:t>2</w:t>
      </w:r>
      <w:r>
        <w:rPr>
          <w:rFonts w:ascii="Times New Roman" w:eastAsia="Calibri" w:hAnsi="Times New Roman" w:cs="Times New Roman"/>
          <w:sz w:val="24"/>
          <w:shd w:val="clear" w:color="auto" w:fill="FFFFFF"/>
          <w:vertAlign w:val="subscript"/>
        </w:rPr>
        <w:t>WR</w:t>
      </w:r>
      <w:r>
        <w:rPr>
          <w:rFonts w:ascii="Times New Roman" w:eastAsia="Calibri" w:hAnsi="Times New Roman" w:cs="Times New Roman"/>
          <w:sz w:val="24"/>
          <w:shd w:val="clear" w:color="auto" w:fill="FFFFFF"/>
        </w:rPr>
        <w:t xml:space="preserve">  </w:t>
      </w:r>
    </w:p>
    <w:p w:rsidR="009E2778" w:rsidRPr="00E12B5C" w:rsidRDefault="00E12B5C" w:rsidP="00A356A2">
      <w:pPr>
        <w:autoSpaceDE w:val="0"/>
        <w:autoSpaceDN w:val="0"/>
        <w:adjustRightInd w:val="0"/>
        <w:ind w:left="36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where S</w:t>
      </w:r>
      <w:r>
        <w:rPr>
          <w:rFonts w:ascii="Times New Roman" w:eastAsia="Calibri" w:hAnsi="Times New Roman" w:cs="Times New Roman"/>
          <w:sz w:val="24"/>
          <w:shd w:val="clear" w:color="auto" w:fill="FFFFFF"/>
          <w:vertAlign w:val="subscript"/>
        </w:rPr>
        <w:t xml:space="preserve">WR </w:t>
      </w:r>
      <w:r>
        <w:rPr>
          <w:rFonts w:ascii="Times New Roman" w:eastAsia="Calibri" w:hAnsi="Times New Roman" w:cs="Times New Roman"/>
          <w:sz w:val="24"/>
          <w:shd w:val="clear" w:color="auto" w:fill="FFFFFF"/>
        </w:rPr>
        <w:t>is the within subject standard deviation for the reference product</w:t>
      </w:r>
    </w:p>
    <w:p w:rsidR="009E2778" w:rsidRPr="00E12B5C" w:rsidRDefault="009E2778" w:rsidP="00A356A2">
      <w:pPr>
        <w:autoSpaceDE w:val="0"/>
        <w:autoSpaceDN w:val="0"/>
        <w:adjustRightInd w:val="0"/>
        <w:ind w:left="360"/>
        <w:rPr>
          <w:rFonts w:ascii="Times New Roman" w:eastAsia="Calibri" w:hAnsi="Times New Roman" w:cs="Times New Roman"/>
          <w:sz w:val="24"/>
          <w:shd w:val="clear" w:color="auto" w:fill="FFFFFF"/>
        </w:rPr>
      </w:pPr>
    </w:p>
    <w:p w:rsidR="00A356A2" w:rsidRDefault="00A356A2" w:rsidP="00A356A2">
      <w:p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BOUNDY</w:t>
      </w:r>
      <w:r w:rsidR="009E2778" w:rsidRPr="00E12B5C">
        <w:rPr>
          <w:rFonts w:ascii="Times New Roman" w:eastAsia="Calibri" w:hAnsi="Times New Roman" w:cs="Times New Roman"/>
          <w:sz w:val="24"/>
          <w:shd w:val="clear" w:color="auto" w:fill="FFFFFF"/>
        </w:rPr>
        <w:t>=</w:t>
      </w:r>
      <w:r w:rsidR="00E12B5C">
        <w:rPr>
          <w:rFonts w:ascii="Times New Roman" w:eastAsia="Calibri" w:hAnsi="Times New Roman" w:cs="Times New Roman"/>
          <w:sz w:val="24"/>
          <w:shd w:val="clear" w:color="auto" w:fill="FFFFFF"/>
        </w:rPr>
        <w:t>Y</w:t>
      </w:r>
      <w:r>
        <w:rPr>
          <w:rFonts w:ascii="Times New Roman" w:eastAsia="Calibri" w:hAnsi="Times New Roman" w:cs="Times New Roman"/>
          <w:sz w:val="24"/>
          <w:shd w:val="clear" w:color="auto" w:fill="FFFFFF"/>
        </w:rPr>
        <w:t>*df</w:t>
      </w:r>
      <w:r w:rsidRPr="00A356A2">
        <w:rPr>
          <w:rFonts w:ascii="Times New Roman" w:eastAsia="Calibri" w:hAnsi="Times New Roman" w:cs="Times New Roman"/>
          <w:sz w:val="24"/>
          <w:shd w:val="clear" w:color="auto" w:fill="FFFFFF"/>
          <w:vertAlign w:val="subscript"/>
        </w:rPr>
        <w:t>R</w:t>
      </w:r>
      <w:r w:rsidR="009E2778" w:rsidRPr="00E12B5C">
        <w:rPr>
          <w:rFonts w:ascii="Times New Roman" w:eastAsia="Calibri" w:hAnsi="Times New Roman" w:cs="Times New Roman"/>
          <w:sz w:val="24"/>
          <w:shd w:val="clear" w:color="auto" w:fill="FFFFFF"/>
        </w:rPr>
        <w:t>/cinv(</w:t>
      </w:r>
      <w:r w:rsidR="009E2778" w:rsidRPr="00E12B5C">
        <w:rPr>
          <w:rFonts w:ascii="Times New Roman" w:eastAsia="Calibri" w:hAnsi="Times New Roman" w:cs="Times New Roman"/>
          <w:b/>
          <w:bCs/>
          <w:sz w:val="24"/>
          <w:shd w:val="clear" w:color="auto" w:fill="FFFFFF"/>
        </w:rPr>
        <w:t>0.95</w:t>
      </w:r>
      <w:r w:rsidR="009E2778" w:rsidRPr="00E12B5C">
        <w:rPr>
          <w:rFonts w:ascii="Times New Roman" w:eastAsia="Calibri" w:hAnsi="Times New Roman" w:cs="Times New Roman"/>
          <w:sz w:val="24"/>
          <w:shd w:val="clear" w:color="auto" w:fill="FFFFFF"/>
        </w:rPr>
        <w:t>,dfd)</w:t>
      </w:r>
    </w:p>
    <w:p w:rsidR="009E2778" w:rsidRPr="00A356A2" w:rsidRDefault="00E12B5C" w:rsidP="00A356A2">
      <w:pPr>
        <w:autoSpaceDE w:val="0"/>
        <w:autoSpaceDN w:val="0"/>
        <w:adjustRightInd w:val="0"/>
        <w:ind w:left="36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where df</w:t>
      </w:r>
      <w:r w:rsidR="00A356A2" w:rsidRPr="00A356A2">
        <w:rPr>
          <w:rFonts w:ascii="Times New Roman" w:eastAsia="Calibri" w:hAnsi="Times New Roman" w:cs="Times New Roman"/>
          <w:sz w:val="24"/>
          <w:shd w:val="clear" w:color="auto" w:fill="FFFFFF"/>
          <w:vertAlign w:val="subscript"/>
        </w:rPr>
        <w:t>R</w:t>
      </w:r>
      <w:r>
        <w:rPr>
          <w:rFonts w:ascii="Times New Roman" w:eastAsia="Calibri" w:hAnsi="Times New Roman" w:cs="Times New Roman"/>
          <w:sz w:val="24"/>
          <w:shd w:val="clear" w:color="auto" w:fill="FFFFFF"/>
        </w:rPr>
        <w:t xml:space="preserve"> is degrees of freedom for S</w:t>
      </w:r>
      <w:r>
        <w:rPr>
          <w:rFonts w:ascii="Times New Roman" w:eastAsia="Calibri" w:hAnsi="Times New Roman" w:cs="Times New Roman"/>
          <w:sz w:val="24"/>
          <w:shd w:val="clear" w:color="auto" w:fill="FFFFFF"/>
          <w:vertAlign w:val="subscript"/>
        </w:rPr>
        <w:t>WR</w:t>
      </w:r>
      <w:r>
        <w:rPr>
          <w:rFonts w:ascii="Times New Roman" w:eastAsia="Calibri" w:hAnsi="Times New Roman" w:cs="Times New Roman"/>
          <w:sz w:val="24"/>
          <w:shd w:val="clear" w:color="auto" w:fill="FFFFFF"/>
        </w:rPr>
        <w:t xml:space="preserve"> and cinv(0.95, df</w:t>
      </w:r>
      <w:r w:rsidR="00A356A2" w:rsidRPr="00A356A2">
        <w:rPr>
          <w:rFonts w:ascii="Times New Roman" w:eastAsia="Calibri" w:hAnsi="Times New Roman" w:cs="Times New Roman"/>
          <w:sz w:val="24"/>
          <w:shd w:val="clear" w:color="auto" w:fill="FFFFFF"/>
          <w:vertAlign w:val="subscript"/>
        </w:rPr>
        <w:t>R</w:t>
      </w:r>
      <w:r>
        <w:rPr>
          <w:rFonts w:ascii="Times New Roman" w:eastAsia="Calibri" w:hAnsi="Times New Roman" w:cs="Times New Roman"/>
          <w:sz w:val="24"/>
          <w:shd w:val="clear" w:color="auto" w:fill="FFFFFF"/>
        </w:rPr>
        <w:t>)</w:t>
      </w:r>
      <w:r w:rsidR="00A356A2">
        <w:rPr>
          <w:rFonts w:ascii="Times New Roman" w:eastAsia="Calibri" w:hAnsi="Times New Roman" w:cs="Times New Roman"/>
          <w:sz w:val="24"/>
          <w:shd w:val="clear" w:color="auto" w:fill="FFFFFF"/>
        </w:rPr>
        <w:t xml:space="preserve"> is the 95</w:t>
      </w:r>
      <w:r w:rsidR="00A356A2" w:rsidRPr="00A356A2">
        <w:rPr>
          <w:rFonts w:ascii="Times New Roman" w:eastAsia="Calibri" w:hAnsi="Times New Roman" w:cs="Times New Roman"/>
          <w:sz w:val="24"/>
          <w:shd w:val="clear" w:color="auto" w:fill="FFFFFF"/>
          <w:vertAlign w:val="superscript"/>
        </w:rPr>
        <w:t>th</w:t>
      </w:r>
      <w:r w:rsidR="00A356A2">
        <w:rPr>
          <w:rFonts w:ascii="Times New Roman" w:eastAsia="Calibri" w:hAnsi="Times New Roman" w:cs="Times New Roman"/>
          <w:sz w:val="24"/>
          <w:shd w:val="clear" w:color="auto" w:fill="FFFFFF"/>
        </w:rPr>
        <w:t xml:space="preserve"> quantile from the Chi-Square distribution with df</w:t>
      </w:r>
      <w:r w:rsidR="00A356A2">
        <w:rPr>
          <w:rFonts w:ascii="Times New Roman" w:eastAsia="Calibri" w:hAnsi="Times New Roman" w:cs="Times New Roman"/>
          <w:sz w:val="24"/>
          <w:shd w:val="clear" w:color="auto" w:fill="FFFFFF"/>
          <w:vertAlign w:val="subscript"/>
        </w:rPr>
        <w:t>R</w:t>
      </w:r>
      <w:r w:rsidR="00A356A2">
        <w:rPr>
          <w:rFonts w:ascii="Times New Roman" w:eastAsia="Calibri" w:hAnsi="Times New Roman" w:cs="Times New Roman"/>
          <w:sz w:val="24"/>
          <w:shd w:val="clear" w:color="auto" w:fill="FFFFFF"/>
        </w:rPr>
        <w:t>.</w:t>
      </w:r>
    </w:p>
    <w:p w:rsidR="00A356A2" w:rsidRDefault="00A356A2" w:rsidP="009E2778">
      <w:pPr>
        <w:autoSpaceDE w:val="0"/>
        <w:autoSpaceDN w:val="0"/>
        <w:adjustRightInd w:val="0"/>
        <w:rPr>
          <w:rFonts w:ascii="Times New Roman" w:eastAsia="Calibri" w:hAnsi="Times New Roman" w:cs="Times New Roman"/>
          <w:sz w:val="24"/>
          <w:shd w:val="clear" w:color="auto" w:fill="FFFFFF"/>
        </w:rPr>
      </w:pPr>
    </w:p>
    <w:p w:rsidR="00A356A2" w:rsidRDefault="00A356A2" w:rsidP="009E2778">
      <w:p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The final 95% upper confidence bound</w:t>
      </w:r>
      <w:r w:rsidR="006E18DB">
        <w:rPr>
          <w:rFonts w:ascii="Times New Roman" w:eastAsia="Calibri" w:hAnsi="Times New Roman" w:cs="Times New Roman"/>
          <w:sz w:val="24"/>
          <w:shd w:val="clear" w:color="auto" w:fill="FFFFFF"/>
        </w:rPr>
        <w:t xml:space="preserve"> (criterion bound)</w:t>
      </w:r>
      <w:r>
        <w:rPr>
          <w:rFonts w:ascii="Times New Roman" w:eastAsia="Calibri" w:hAnsi="Times New Roman" w:cs="Times New Roman"/>
          <w:sz w:val="24"/>
          <w:shd w:val="clear" w:color="auto" w:fill="FFFFFF"/>
        </w:rPr>
        <w:t xml:space="preserve"> is calculated as follows:  </w:t>
      </w:r>
    </w:p>
    <w:p w:rsidR="00A356A2" w:rsidRDefault="00A356A2" w:rsidP="009E2778">
      <w:pPr>
        <w:autoSpaceDE w:val="0"/>
        <w:autoSpaceDN w:val="0"/>
        <w:adjustRightInd w:val="0"/>
        <w:rPr>
          <w:rFonts w:ascii="Times New Roman" w:eastAsia="Calibri" w:hAnsi="Times New Roman" w:cs="Times New Roman"/>
          <w:sz w:val="24"/>
          <w:shd w:val="clear" w:color="auto" w:fill="FFFFFF"/>
        </w:rPr>
      </w:pPr>
    </w:p>
    <w:p w:rsidR="009E2778" w:rsidRPr="00E12B5C" w:rsidRDefault="00A356A2" w:rsidP="009E2778">
      <w:p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CRITBOUND</w:t>
      </w:r>
      <w:r w:rsidR="009E2778" w:rsidRPr="00E12B5C">
        <w:rPr>
          <w:rFonts w:ascii="Times New Roman" w:eastAsia="Calibri" w:hAnsi="Times New Roman" w:cs="Times New Roman"/>
          <w:sz w:val="24"/>
          <w:shd w:val="clear" w:color="auto" w:fill="FFFFFF"/>
        </w:rPr>
        <w:t>=(</w:t>
      </w:r>
      <w:r>
        <w:rPr>
          <w:rFonts w:ascii="Times New Roman" w:eastAsia="Calibri" w:hAnsi="Times New Roman" w:cs="Times New Roman"/>
          <w:sz w:val="24"/>
          <w:shd w:val="clear" w:color="auto" w:fill="FFFFFF"/>
        </w:rPr>
        <w:t>X</w:t>
      </w:r>
      <w:r w:rsidR="009E2778" w:rsidRPr="00E12B5C">
        <w:rPr>
          <w:rFonts w:ascii="Times New Roman" w:eastAsia="Calibri" w:hAnsi="Times New Roman" w:cs="Times New Roman"/>
          <w:sz w:val="24"/>
          <w:shd w:val="clear" w:color="auto" w:fill="FFFFFF"/>
        </w:rPr>
        <w:t>+</w:t>
      </w:r>
      <w:r>
        <w:rPr>
          <w:rFonts w:ascii="Times New Roman" w:eastAsia="Calibri" w:hAnsi="Times New Roman" w:cs="Times New Roman"/>
          <w:sz w:val="24"/>
          <w:shd w:val="clear" w:color="auto" w:fill="FFFFFF"/>
        </w:rPr>
        <w:t>Y</w:t>
      </w:r>
      <w:r w:rsidR="009E2778" w:rsidRPr="00E12B5C">
        <w:rPr>
          <w:rFonts w:ascii="Times New Roman" w:eastAsia="Calibri" w:hAnsi="Times New Roman" w:cs="Times New Roman"/>
          <w:sz w:val="24"/>
          <w:shd w:val="clear" w:color="auto" w:fill="FFFFFF"/>
        </w:rPr>
        <w:t>)+</w:t>
      </w:r>
      <w:r>
        <w:rPr>
          <w:rFonts w:ascii="Times New Roman" w:eastAsia="Calibri" w:hAnsi="Times New Roman" w:cs="Times New Roman"/>
          <w:sz w:val="24"/>
          <w:shd w:val="clear" w:color="auto" w:fill="FFFFFF"/>
        </w:rPr>
        <w:t xml:space="preserve"> </w:t>
      </w:r>
      <w:r w:rsidR="009E2778" w:rsidRPr="00E12B5C">
        <w:rPr>
          <w:rFonts w:ascii="Times New Roman" w:eastAsia="Calibri" w:hAnsi="Times New Roman" w:cs="Times New Roman"/>
          <w:sz w:val="24"/>
          <w:shd w:val="clear" w:color="auto" w:fill="FFFFFF"/>
        </w:rPr>
        <w:t>sqrt(((</w:t>
      </w:r>
      <w:r>
        <w:rPr>
          <w:rFonts w:ascii="Times New Roman" w:eastAsia="Calibri" w:hAnsi="Times New Roman" w:cs="Times New Roman"/>
          <w:sz w:val="24"/>
          <w:shd w:val="clear" w:color="auto" w:fill="FFFFFF"/>
        </w:rPr>
        <w:t>BOUNDX</w:t>
      </w:r>
      <w:r w:rsidR="009E2778" w:rsidRPr="00E12B5C">
        <w:rPr>
          <w:rFonts w:ascii="Times New Roman" w:eastAsia="Calibri" w:hAnsi="Times New Roman" w:cs="Times New Roman"/>
          <w:sz w:val="24"/>
          <w:shd w:val="clear" w:color="auto" w:fill="FFFFFF"/>
        </w:rPr>
        <w:t>-</w:t>
      </w:r>
      <w:r>
        <w:rPr>
          <w:rFonts w:ascii="Times New Roman" w:eastAsia="Calibri" w:hAnsi="Times New Roman" w:cs="Times New Roman"/>
          <w:sz w:val="24"/>
          <w:shd w:val="clear" w:color="auto" w:fill="FFFFFF"/>
        </w:rPr>
        <w:t>X</w:t>
      </w:r>
      <w:r w:rsidR="009E2778" w:rsidRPr="00E12B5C">
        <w:rPr>
          <w:rFonts w:ascii="Times New Roman" w:eastAsia="Calibri" w:hAnsi="Times New Roman" w:cs="Times New Roman"/>
          <w:sz w:val="24"/>
          <w:shd w:val="clear" w:color="auto" w:fill="FFFFFF"/>
        </w:rPr>
        <w:t>)**2)+((</w:t>
      </w:r>
      <w:r>
        <w:rPr>
          <w:rFonts w:ascii="Times New Roman" w:eastAsia="Calibri" w:hAnsi="Times New Roman" w:cs="Times New Roman"/>
          <w:sz w:val="24"/>
          <w:shd w:val="clear" w:color="auto" w:fill="FFFFFF"/>
        </w:rPr>
        <w:t>BOUNDY</w:t>
      </w:r>
      <w:r w:rsidR="009E2778" w:rsidRPr="00E12B5C">
        <w:rPr>
          <w:rFonts w:ascii="Times New Roman" w:eastAsia="Calibri" w:hAnsi="Times New Roman" w:cs="Times New Roman"/>
          <w:sz w:val="24"/>
          <w:shd w:val="clear" w:color="auto" w:fill="FFFFFF"/>
        </w:rPr>
        <w:t>-</w:t>
      </w:r>
      <w:r>
        <w:rPr>
          <w:rFonts w:ascii="Times New Roman" w:eastAsia="Calibri" w:hAnsi="Times New Roman" w:cs="Times New Roman"/>
          <w:sz w:val="24"/>
          <w:shd w:val="clear" w:color="auto" w:fill="FFFFFF"/>
        </w:rPr>
        <w:t>Y</w:t>
      </w:r>
      <w:r w:rsidR="009E2778" w:rsidRPr="00E12B5C">
        <w:rPr>
          <w:rFonts w:ascii="Times New Roman" w:eastAsia="Calibri" w:hAnsi="Times New Roman" w:cs="Times New Roman"/>
          <w:sz w:val="24"/>
          <w:shd w:val="clear" w:color="auto" w:fill="FFFFFF"/>
        </w:rPr>
        <w:t>)**2)</w:t>
      </w:r>
    </w:p>
    <w:p w:rsidR="009E2778" w:rsidRDefault="009E2778" w:rsidP="009E2778">
      <w:pPr>
        <w:autoSpaceDE w:val="0"/>
        <w:autoSpaceDN w:val="0"/>
        <w:adjustRightInd w:val="0"/>
        <w:rPr>
          <w:rFonts w:ascii="Courier New" w:eastAsia="Calibri" w:hAnsi="Courier New" w:cs="Courier New"/>
          <w:sz w:val="20"/>
          <w:szCs w:val="20"/>
          <w:shd w:val="clear" w:color="auto" w:fill="FFFFFF"/>
        </w:rPr>
      </w:pPr>
    </w:p>
    <w:p w:rsidR="007D26E2" w:rsidRPr="00E12B5C" w:rsidRDefault="007D26E2" w:rsidP="007D26E2">
      <w:pPr>
        <w:autoSpaceDE w:val="0"/>
        <w:autoSpaceDN w:val="0"/>
        <w:adjustRightInd w:val="0"/>
        <w:rPr>
          <w:rFonts w:ascii="Times New Roman" w:eastAsia="Calibri" w:hAnsi="Times New Roman" w:cs="Times New Roman"/>
          <w:sz w:val="24"/>
          <w:shd w:val="clear" w:color="auto" w:fill="FFFFFF"/>
        </w:rPr>
      </w:pPr>
      <w:r w:rsidRPr="00E12B5C">
        <w:rPr>
          <w:rFonts w:ascii="Times New Roman" w:eastAsia="Calibri" w:hAnsi="Times New Roman" w:cs="Times New Roman"/>
          <w:sz w:val="24"/>
          <w:shd w:val="clear" w:color="auto" w:fill="FFFFFF"/>
        </w:rPr>
        <w:t>The upper confidence bound was calculated in accordance with the example in the FDA Draft Guidance on Warfarin (referenced above) and was based on Howe’s Approximation I described in the following reference:</w:t>
      </w:r>
    </w:p>
    <w:p w:rsidR="007D26E2" w:rsidRDefault="007D26E2" w:rsidP="007D26E2">
      <w:pPr>
        <w:autoSpaceDE w:val="0"/>
        <w:autoSpaceDN w:val="0"/>
        <w:adjustRightInd w:val="0"/>
        <w:rPr>
          <w:rFonts w:ascii="Times New Roman" w:eastAsia="Calibri" w:hAnsi="Times New Roman" w:cs="Times New Roman"/>
          <w:sz w:val="24"/>
          <w:shd w:val="clear" w:color="auto" w:fill="FFFFFF"/>
        </w:rPr>
      </w:pPr>
      <w:r w:rsidRPr="00E12B5C">
        <w:rPr>
          <w:rFonts w:ascii="Times New Roman" w:eastAsia="Calibri" w:hAnsi="Times New Roman" w:cs="Times New Roman"/>
          <w:i/>
          <w:sz w:val="24"/>
          <w:shd w:val="clear" w:color="auto" w:fill="FFFFFF"/>
        </w:rPr>
        <w:t>W. G . Howe (1974) Approximate Confidence Limits on the mean of X+Y Where X and Y are Two Table Independent Random Variables, Journal of the American Statistical Association, 69 (347): 789-794.</w:t>
      </w:r>
      <w:r w:rsidRPr="00E12B5C">
        <w:rPr>
          <w:rFonts w:ascii="Times New Roman" w:eastAsia="Calibri" w:hAnsi="Times New Roman" w:cs="Times New Roman"/>
          <w:sz w:val="24"/>
          <w:shd w:val="clear" w:color="auto" w:fill="FFFFFF"/>
        </w:rPr>
        <w:t xml:space="preserve">   </w:t>
      </w:r>
    </w:p>
    <w:p w:rsidR="00CC450B" w:rsidRDefault="00CC450B" w:rsidP="007D26E2">
      <w:pPr>
        <w:autoSpaceDE w:val="0"/>
        <w:autoSpaceDN w:val="0"/>
        <w:adjustRightInd w:val="0"/>
        <w:rPr>
          <w:rFonts w:ascii="Times New Roman" w:eastAsia="Calibri" w:hAnsi="Times New Roman" w:cs="Times New Roman"/>
          <w:sz w:val="24"/>
          <w:shd w:val="clear" w:color="auto" w:fill="FFFFFF"/>
        </w:rPr>
      </w:pPr>
    </w:p>
    <w:p w:rsidR="00CC450B" w:rsidRDefault="00CC450B" w:rsidP="007D26E2">
      <w:pPr>
        <w:autoSpaceDE w:val="0"/>
        <w:autoSpaceDN w:val="0"/>
        <w:adjustRightInd w:val="0"/>
        <w:rPr>
          <w:rFonts w:ascii="Times New Roman" w:eastAsia="Calibri" w:hAnsi="Times New Roman" w:cs="Times New Roman"/>
          <w:b/>
          <w:sz w:val="24"/>
          <w:shd w:val="clear" w:color="auto" w:fill="FFFFFF"/>
        </w:rPr>
      </w:pPr>
      <w:r>
        <w:rPr>
          <w:rFonts w:ascii="Times New Roman" w:eastAsia="Calibri" w:hAnsi="Times New Roman" w:cs="Times New Roman"/>
          <w:b/>
          <w:sz w:val="24"/>
          <w:shd w:val="clear" w:color="auto" w:fill="FFFFFF"/>
        </w:rPr>
        <w:t>Step 3:  Calculate the SCABE limits based on the within subject variability, regulatory constant, and upper BE limit for narrow therapeutic drugs.</w:t>
      </w:r>
    </w:p>
    <w:p w:rsidR="00CC450B" w:rsidRDefault="00CC450B" w:rsidP="007D26E2">
      <w:pPr>
        <w:autoSpaceDE w:val="0"/>
        <w:autoSpaceDN w:val="0"/>
        <w:adjustRightInd w:val="0"/>
        <w:rPr>
          <w:rFonts w:ascii="Times New Roman" w:eastAsia="Calibri" w:hAnsi="Times New Roman" w:cs="Times New Roman"/>
          <w:b/>
          <w:sz w:val="24"/>
          <w:shd w:val="clear" w:color="auto" w:fill="FFFFFF"/>
        </w:rPr>
      </w:pPr>
    </w:p>
    <w:p w:rsidR="00CC450B" w:rsidRDefault="00CC450B" w:rsidP="007D26E2">
      <w:p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Define the regulatory constant:   σ</w:t>
      </w:r>
      <w:r>
        <w:rPr>
          <w:rFonts w:ascii="Times New Roman" w:eastAsia="Calibri" w:hAnsi="Times New Roman" w:cs="Times New Roman"/>
          <w:sz w:val="24"/>
          <w:shd w:val="clear" w:color="auto" w:fill="FFFFFF"/>
          <w:vertAlign w:val="subscript"/>
        </w:rPr>
        <w:t>w0</w:t>
      </w:r>
      <w:r>
        <w:rPr>
          <w:rFonts w:ascii="Times New Roman" w:eastAsia="Calibri" w:hAnsi="Times New Roman" w:cs="Times New Roman"/>
          <w:sz w:val="24"/>
          <w:shd w:val="clear" w:color="auto" w:fill="FFFFFF"/>
        </w:rPr>
        <w:t>=0.10.</w:t>
      </w:r>
    </w:p>
    <w:p w:rsidR="00CC450B" w:rsidRDefault="00CC450B" w:rsidP="007D26E2">
      <w:p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Define upper BE limit:  Δ=1/0.90.</w:t>
      </w:r>
    </w:p>
    <w:p w:rsidR="00CC450B" w:rsidRDefault="00CC450B" w:rsidP="007D26E2">
      <w:p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Calculate lower limit</w:t>
      </w:r>
      <w:r w:rsidR="00C75ECA">
        <w:rPr>
          <w:rFonts w:ascii="Times New Roman" w:eastAsia="Calibri" w:hAnsi="Times New Roman" w:cs="Times New Roman"/>
          <w:sz w:val="24"/>
          <w:shd w:val="clear" w:color="auto" w:fill="FFFFFF"/>
        </w:rPr>
        <w:t xml:space="preserve"> (LL)</w:t>
      </w:r>
      <w:r>
        <w:rPr>
          <w:rFonts w:ascii="Times New Roman" w:eastAsia="Calibri" w:hAnsi="Times New Roman" w:cs="Times New Roman"/>
          <w:sz w:val="24"/>
          <w:shd w:val="clear" w:color="auto" w:fill="FFFFFF"/>
        </w:rPr>
        <w:t>:  -[ln</w:t>
      </w:r>
      <w:r>
        <w:rPr>
          <w:rFonts w:ascii="Times New Roman" w:eastAsia="Calibri" w:hAnsi="Times New Roman" w:cs="Times New Roman"/>
          <w:sz w:val="24"/>
          <w:shd w:val="clear" w:color="auto" w:fill="FFFFFF"/>
          <w:vertAlign w:val="subscript"/>
        </w:rPr>
        <w:t>e</w:t>
      </w:r>
      <w:r>
        <w:rPr>
          <w:rFonts w:ascii="Times New Roman" w:eastAsia="Calibri" w:hAnsi="Times New Roman" w:cs="Times New Roman"/>
          <w:sz w:val="24"/>
          <w:shd w:val="clear" w:color="auto" w:fill="FFFFFF"/>
        </w:rPr>
        <w:t>(</w:t>
      </w:r>
      <w:r w:rsidR="00C75ECA">
        <w:rPr>
          <w:rFonts w:ascii="Times New Roman" w:eastAsia="Calibri" w:hAnsi="Times New Roman" w:cs="Times New Roman"/>
          <w:sz w:val="24"/>
          <w:shd w:val="clear" w:color="auto" w:fill="FFFFFF"/>
        </w:rPr>
        <w:t>Δ</w:t>
      </w:r>
      <w:r>
        <w:rPr>
          <w:rFonts w:ascii="Times New Roman" w:eastAsia="Calibri" w:hAnsi="Times New Roman" w:cs="Times New Roman"/>
          <w:sz w:val="24"/>
          <w:shd w:val="clear" w:color="auto" w:fill="FFFFFF"/>
        </w:rPr>
        <w:t>)(</w:t>
      </w:r>
      <w:r w:rsidRPr="00CC450B">
        <w:rPr>
          <w:rFonts w:ascii="Times New Roman" w:eastAsia="Calibri" w:hAnsi="Times New Roman" w:cs="Times New Roman"/>
          <w:sz w:val="24"/>
          <w:shd w:val="clear" w:color="auto" w:fill="FFFFFF"/>
        </w:rPr>
        <w:t xml:space="preserve"> </w:t>
      </w:r>
      <w:r>
        <w:rPr>
          <w:rFonts w:ascii="Times New Roman" w:eastAsia="Calibri" w:hAnsi="Times New Roman" w:cs="Times New Roman"/>
          <w:sz w:val="24"/>
          <w:shd w:val="clear" w:color="auto" w:fill="FFFFFF"/>
        </w:rPr>
        <w:t>σ</w:t>
      </w:r>
      <w:r>
        <w:rPr>
          <w:rFonts w:ascii="Times New Roman" w:eastAsia="Calibri" w:hAnsi="Times New Roman" w:cs="Times New Roman"/>
          <w:sz w:val="24"/>
          <w:shd w:val="clear" w:color="auto" w:fill="FFFFFF"/>
          <w:vertAlign w:val="subscript"/>
        </w:rPr>
        <w:t>wR</w:t>
      </w:r>
      <w:r>
        <w:rPr>
          <w:rFonts w:ascii="Times New Roman" w:eastAsia="Calibri" w:hAnsi="Times New Roman" w:cs="Times New Roman"/>
          <w:sz w:val="24"/>
          <w:shd w:val="clear" w:color="auto" w:fill="FFFFFF"/>
        </w:rPr>
        <w:t>/</w:t>
      </w:r>
      <w:r w:rsidRPr="00CC450B">
        <w:rPr>
          <w:rFonts w:ascii="Times New Roman" w:eastAsia="Calibri" w:hAnsi="Times New Roman" w:cs="Times New Roman"/>
          <w:sz w:val="24"/>
          <w:shd w:val="clear" w:color="auto" w:fill="FFFFFF"/>
        </w:rPr>
        <w:t xml:space="preserve"> </w:t>
      </w:r>
      <w:r>
        <w:rPr>
          <w:rFonts w:ascii="Times New Roman" w:eastAsia="Calibri" w:hAnsi="Times New Roman" w:cs="Times New Roman"/>
          <w:sz w:val="24"/>
          <w:shd w:val="clear" w:color="auto" w:fill="FFFFFF"/>
        </w:rPr>
        <w:t>σ</w:t>
      </w:r>
      <w:r>
        <w:rPr>
          <w:rFonts w:ascii="Times New Roman" w:eastAsia="Calibri" w:hAnsi="Times New Roman" w:cs="Times New Roman"/>
          <w:sz w:val="24"/>
          <w:shd w:val="clear" w:color="auto" w:fill="FFFFFF"/>
          <w:vertAlign w:val="subscript"/>
        </w:rPr>
        <w:t>w0</w:t>
      </w:r>
      <w:r w:rsidR="00C75ECA">
        <w:rPr>
          <w:rFonts w:ascii="Times New Roman" w:eastAsia="Calibri" w:hAnsi="Times New Roman" w:cs="Times New Roman"/>
          <w:sz w:val="24"/>
          <w:shd w:val="clear" w:color="auto" w:fill="FFFFFF"/>
        </w:rPr>
        <w:t>)]</w:t>
      </w:r>
    </w:p>
    <w:p w:rsidR="00C75ECA" w:rsidRDefault="00C75ECA" w:rsidP="00BD13FE">
      <w:p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Calculate upper limit (UL): [ln</w:t>
      </w:r>
      <w:r>
        <w:rPr>
          <w:rFonts w:ascii="Times New Roman" w:eastAsia="Calibri" w:hAnsi="Times New Roman" w:cs="Times New Roman"/>
          <w:sz w:val="24"/>
          <w:shd w:val="clear" w:color="auto" w:fill="FFFFFF"/>
          <w:vertAlign w:val="subscript"/>
        </w:rPr>
        <w:t>e</w:t>
      </w:r>
      <w:r>
        <w:rPr>
          <w:rFonts w:ascii="Times New Roman" w:eastAsia="Calibri" w:hAnsi="Times New Roman" w:cs="Times New Roman"/>
          <w:sz w:val="24"/>
          <w:shd w:val="clear" w:color="auto" w:fill="FFFFFF"/>
        </w:rPr>
        <w:t>(Δ)(</w:t>
      </w:r>
      <w:r w:rsidRPr="00CC450B">
        <w:rPr>
          <w:rFonts w:ascii="Times New Roman" w:eastAsia="Calibri" w:hAnsi="Times New Roman" w:cs="Times New Roman"/>
          <w:sz w:val="24"/>
          <w:shd w:val="clear" w:color="auto" w:fill="FFFFFF"/>
        </w:rPr>
        <w:t xml:space="preserve"> </w:t>
      </w:r>
      <w:r>
        <w:rPr>
          <w:rFonts w:ascii="Times New Roman" w:eastAsia="Calibri" w:hAnsi="Times New Roman" w:cs="Times New Roman"/>
          <w:sz w:val="24"/>
          <w:shd w:val="clear" w:color="auto" w:fill="FFFFFF"/>
        </w:rPr>
        <w:t>σ</w:t>
      </w:r>
      <w:r>
        <w:rPr>
          <w:rFonts w:ascii="Times New Roman" w:eastAsia="Calibri" w:hAnsi="Times New Roman" w:cs="Times New Roman"/>
          <w:sz w:val="24"/>
          <w:shd w:val="clear" w:color="auto" w:fill="FFFFFF"/>
          <w:vertAlign w:val="subscript"/>
        </w:rPr>
        <w:t>wR</w:t>
      </w:r>
      <w:r>
        <w:rPr>
          <w:rFonts w:ascii="Times New Roman" w:eastAsia="Calibri" w:hAnsi="Times New Roman" w:cs="Times New Roman"/>
          <w:sz w:val="24"/>
          <w:shd w:val="clear" w:color="auto" w:fill="FFFFFF"/>
        </w:rPr>
        <w:t>/</w:t>
      </w:r>
      <w:r w:rsidRPr="00CC450B">
        <w:rPr>
          <w:rFonts w:ascii="Times New Roman" w:eastAsia="Calibri" w:hAnsi="Times New Roman" w:cs="Times New Roman"/>
          <w:sz w:val="24"/>
          <w:shd w:val="clear" w:color="auto" w:fill="FFFFFF"/>
        </w:rPr>
        <w:t xml:space="preserve"> </w:t>
      </w:r>
      <w:r>
        <w:rPr>
          <w:rFonts w:ascii="Times New Roman" w:eastAsia="Calibri" w:hAnsi="Times New Roman" w:cs="Times New Roman"/>
          <w:sz w:val="24"/>
          <w:shd w:val="clear" w:color="auto" w:fill="FFFFFF"/>
        </w:rPr>
        <w:t>σ</w:t>
      </w:r>
      <w:r>
        <w:rPr>
          <w:rFonts w:ascii="Times New Roman" w:eastAsia="Calibri" w:hAnsi="Times New Roman" w:cs="Times New Roman"/>
          <w:sz w:val="24"/>
          <w:shd w:val="clear" w:color="auto" w:fill="FFFFFF"/>
          <w:vertAlign w:val="subscript"/>
        </w:rPr>
        <w:t>w0</w:t>
      </w:r>
      <w:r>
        <w:rPr>
          <w:rFonts w:ascii="Times New Roman" w:eastAsia="Calibri" w:hAnsi="Times New Roman" w:cs="Times New Roman"/>
          <w:sz w:val="24"/>
          <w:shd w:val="clear" w:color="auto" w:fill="FFFFFF"/>
        </w:rPr>
        <w:t>)]</w:t>
      </w:r>
    </w:p>
    <w:p w:rsidR="008E76D9" w:rsidRDefault="00C75ECA" w:rsidP="00BD13FE">
      <w:p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SCABE limits: [ exp(LL), exp(UL)]</w:t>
      </w:r>
    </w:p>
    <w:p w:rsidR="008E76D9" w:rsidRDefault="008E76D9" w:rsidP="00BD13FE">
      <w:pPr>
        <w:autoSpaceDE w:val="0"/>
        <w:autoSpaceDN w:val="0"/>
        <w:adjustRightInd w:val="0"/>
        <w:rPr>
          <w:rFonts w:ascii="Times New Roman" w:eastAsia="Calibri" w:hAnsi="Times New Roman" w:cs="Times New Roman"/>
          <w:sz w:val="24"/>
          <w:shd w:val="clear" w:color="auto" w:fill="FFFFFF"/>
        </w:rPr>
      </w:pPr>
    </w:p>
    <w:p w:rsidR="00C75ECA" w:rsidRPr="008E76D9" w:rsidRDefault="008E76D9" w:rsidP="00BD13FE">
      <w:pPr>
        <w:autoSpaceDE w:val="0"/>
        <w:autoSpaceDN w:val="0"/>
        <w:adjustRightInd w:val="0"/>
        <w:rPr>
          <w:rFonts w:ascii="Courier New" w:eastAsia="Calibri" w:hAnsi="Courier New" w:cs="Courier New"/>
          <w:i/>
          <w:sz w:val="20"/>
          <w:szCs w:val="20"/>
          <w:shd w:val="clear" w:color="auto" w:fill="FFFFFF"/>
        </w:rPr>
      </w:pPr>
      <w:r w:rsidRPr="008E76D9">
        <w:rPr>
          <w:rFonts w:ascii="Times New Roman" w:eastAsia="Calibri" w:hAnsi="Times New Roman" w:cs="Times New Roman"/>
          <w:i/>
          <w:sz w:val="24"/>
          <w:shd w:val="clear" w:color="auto" w:fill="FFFFFF"/>
        </w:rPr>
        <w:t xml:space="preserve">Davit, Barbara, et. </w:t>
      </w:r>
      <w:r>
        <w:rPr>
          <w:rFonts w:ascii="Times New Roman" w:eastAsia="Calibri" w:hAnsi="Times New Roman" w:cs="Times New Roman"/>
          <w:i/>
          <w:sz w:val="24"/>
          <w:shd w:val="clear" w:color="auto" w:fill="FFFFFF"/>
        </w:rPr>
        <w:t>al</w:t>
      </w:r>
      <w:r w:rsidRPr="008E76D9">
        <w:rPr>
          <w:rFonts w:ascii="Times New Roman" w:eastAsia="Calibri" w:hAnsi="Times New Roman" w:cs="Times New Roman"/>
          <w:i/>
          <w:sz w:val="24"/>
          <w:shd w:val="clear" w:color="auto" w:fill="FFFFFF"/>
        </w:rPr>
        <w:t>.</w:t>
      </w:r>
      <w:r>
        <w:rPr>
          <w:rFonts w:ascii="Times New Roman" w:eastAsia="Calibri" w:hAnsi="Times New Roman" w:cs="Times New Roman"/>
          <w:i/>
          <w:sz w:val="24"/>
          <w:shd w:val="clear" w:color="auto" w:fill="FFFFFF"/>
        </w:rPr>
        <w:t xml:space="preserve"> (2012) Implementation of a Reference-Scaled Average Bioequivalence Approach for Highly Variable Generic Drug Products by the US Food and Drug Administration.  The AAPS Journal, Vol. 14, No. 4:  915-924. </w:t>
      </w:r>
      <w:r w:rsidRPr="008E76D9">
        <w:rPr>
          <w:rFonts w:ascii="Times New Roman" w:eastAsia="Calibri" w:hAnsi="Times New Roman" w:cs="Times New Roman"/>
          <w:i/>
          <w:sz w:val="24"/>
          <w:shd w:val="clear" w:color="auto" w:fill="FFFFFF"/>
        </w:rPr>
        <w:t xml:space="preserve"> </w:t>
      </w:r>
      <w:r w:rsidR="009E2778" w:rsidRPr="008E76D9">
        <w:rPr>
          <w:rFonts w:ascii="Courier New" w:eastAsia="Calibri" w:hAnsi="Courier New" w:cs="Courier New"/>
          <w:i/>
          <w:sz w:val="20"/>
          <w:szCs w:val="20"/>
          <w:shd w:val="clear" w:color="auto" w:fill="FFFFFF"/>
        </w:rPr>
        <w:t xml:space="preserve"> </w:t>
      </w:r>
    </w:p>
    <w:p w:rsidR="008E76D9" w:rsidRDefault="009E2778" w:rsidP="00BD13FE">
      <w:pPr>
        <w:autoSpaceDE w:val="0"/>
        <w:autoSpaceDN w:val="0"/>
        <w:adjustRightInd w:val="0"/>
        <w:rPr>
          <w:rFonts w:ascii="Courier New" w:eastAsia="Calibri" w:hAnsi="Courier New" w:cs="Courier New"/>
          <w:sz w:val="20"/>
          <w:szCs w:val="20"/>
          <w:shd w:val="clear" w:color="auto" w:fill="FFFFFF"/>
        </w:rPr>
      </w:pPr>
      <w:r>
        <w:rPr>
          <w:rFonts w:ascii="Courier New" w:eastAsia="Calibri" w:hAnsi="Courier New" w:cs="Courier New"/>
          <w:sz w:val="20"/>
          <w:szCs w:val="20"/>
          <w:shd w:val="clear" w:color="auto" w:fill="FFFFFF"/>
        </w:rPr>
        <w:t xml:space="preserve"> </w:t>
      </w:r>
    </w:p>
    <w:p w:rsidR="00D24B6A" w:rsidRDefault="00D24B6A" w:rsidP="00BD13FE">
      <w:pPr>
        <w:autoSpaceDE w:val="0"/>
        <w:autoSpaceDN w:val="0"/>
        <w:adjustRightInd w:val="0"/>
        <w:rPr>
          <w:rFonts w:ascii="Times New Roman" w:eastAsia="Calibri" w:hAnsi="Times New Roman" w:cs="Times New Roman"/>
          <w:b/>
          <w:sz w:val="24"/>
          <w:shd w:val="clear" w:color="auto" w:fill="FFFFFF"/>
        </w:rPr>
      </w:pPr>
      <w:r>
        <w:rPr>
          <w:rFonts w:ascii="Times New Roman" w:eastAsia="Calibri" w:hAnsi="Times New Roman" w:cs="Times New Roman"/>
          <w:b/>
          <w:sz w:val="24"/>
          <w:shd w:val="clear" w:color="auto" w:fill="FFFFFF"/>
        </w:rPr>
        <w:t xml:space="preserve">Step </w:t>
      </w:r>
      <w:r w:rsidR="00CC450B">
        <w:rPr>
          <w:rFonts w:ascii="Times New Roman" w:eastAsia="Calibri" w:hAnsi="Times New Roman" w:cs="Times New Roman"/>
          <w:b/>
          <w:sz w:val="24"/>
          <w:shd w:val="clear" w:color="auto" w:fill="FFFFFF"/>
        </w:rPr>
        <w:t>4</w:t>
      </w:r>
      <w:r>
        <w:rPr>
          <w:rFonts w:ascii="Times New Roman" w:eastAsia="Calibri" w:hAnsi="Times New Roman" w:cs="Times New Roman"/>
          <w:b/>
          <w:sz w:val="24"/>
          <w:shd w:val="clear" w:color="auto" w:fill="FFFFFF"/>
        </w:rPr>
        <w:t xml:space="preserve">:  Compare the 90% confidence interval for the ratio of the geometric means of the two products being tested for bioequivalence to the </w:t>
      </w:r>
      <w:r w:rsidR="00EC6C2F">
        <w:rPr>
          <w:rFonts w:ascii="Times New Roman" w:eastAsia="Calibri" w:hAnsi="Times New Roman" w:cs="Times New Roman"/>
          <w:b/>
          <w:sz w:val="24"/>
          <w:shd w:val="clear" w:color="auto" w:fill="FFFFFF"/>
        </w:rPr>
        <w:t>average</w:t>
      </w:r>
      <w:r>
        <w:rPr>
          <w:rFonts w:ascii="Times New Roman" w:eastAsia="Calibri" w:hAnsi="Times New Roman" w:cs="Times New Roman"/>
          <w:b/>
          <w:sz w:val="24"/>
          <w:shd w:val="clear" w:color="auto" w:fill="FFFFFF"/>
        </w:rPr>
        <w:t xml:space="preserve"> </w:t>
      </w:r>
      <w:r w:rsidR="00EC6C2F">
        <w:rPr>
          <w:rFonts w:ascii="Times New Roman" w:eastAsia="Calibri" w:hAnsi="Times New Roman" w:cs="Times New Roman"/>
          <w:b/>
          <w:sz w:val="24"/>
          <w:shd w:val="clear" w:color="auto" w:fill="FFFFFF"/>
        </w:rPr>
        <w:t>bioequivalence (ABE)</w:t>
      </w:r>
      <w:r>
        <w:rPr>
          <w:rFonts w:ascii="Times New Roman" w:eastAsia="Calibri" w:hAnsi="Times New Roman" w:cs="Times New Roman"/>
          <w:b/>
          <w:sz w:val="24"/>
          <w:shd w:val="clear" w:color="auto" w:fill="FFFFFF"/>
        </w:rPr>
        <w:t xml:space="preserve"> limits.  For each comparison, determine if the entire confidence interval falls within the 80%-120% equivalence boundaries.     To conclude bioequivalence, </w:t>
      </w:r>
      <w:r w:rsidR="00B3659C">
        <w:rPr>
          <w:rFonts w:ascii="Times New Roman" w:eastAsia="Calibri" w:hAnsi="Times New Roman" w:cs="Times New Roman"/>
          <w:b/>
          <w:sz w:val="24"/>
          <w:shd w:val="clear" w:color="auto" w:fill="FFFFFF"/>
        </w:rPr>
        <w:t xml:space="preserve">the </w:t>
      </w:r>
      <w:r w:rsidR="00EC6C2F">
        <w:rPr>
          <w:rFonts w:ascii="Times New Roman" w:eastAsia="Calibri" w:hAnsi="Times New Roman" w:cs="Times New Roman"/>
          <w:b/>
          <w:sz w:val="24"/>
          <w:shd w:val="clear" w:color="auto" w:fill="FFFFFF"/>
        </w:rPr>
        <w:t>average</w:t>
      </w:r>
      <w:r>
        <w:rPr>
          <w:rFonts w:ascii="Times New Roman" w:eastAsia="Calibri" w:hAnsi="Times New Roman" w:cs="Times New Roman"/>
          <w:b/>
          <w:sz w:val="24"/>
          <w:shd w:val="clear" w:color="auto" w:fill="FFFFFF"/>
        </w:rPr>
        <w:t xml:space="preserve"> bioequivalence </w:t>
      </w:r>
      <w:r w:rsidR="00B3659C">
        <w:rPr>
          <w:rFonts w:ascii="Times New Roman" w:eastAsia="Calibri" w:hAnsi="Times New Roman" w:cs="Times New Roman"/>
          <w:b/>
          <w:sz w:val="24"/>
          <w:shd w:val="clear" w:color="auto" w:fill="FFFFFF"/>
        </w:rPr>
        <w:t>criteria must also be met</w:t>
      </w:r>
      <w:r>
        <w:rPr>
          <w:rFonts w:ascii="Times New Roman" w:eastAsia="Calibri" w:hAnsi="Times New Roman" w:cs="Times New Roman"/>
          <w:b/>
          <w:sz w:val="24"/>
          <w:shd w:val="clear" w:color="auto" w:fill="FFFFFF"/>
        </w:rPr>
        <w:t>.</w:t>
      </w:r>
    </w:p>
    <w:p w:rsidR="000003D1" w:rsidRDefault="000003D1" w:rsidP="00BD13FE">
      <w:pPr>
        <w:autoSpaceDE w:val="0"/>
        <w:autoSpaceDN w:val="0"/>
        <w:adjustRightInd w:val="0"/>
        <w:rPr>
          <w:rFonts w:ascii="Times New Roman" w:eastAsia="Calibri" w:hAnsi="Times New Roman" w:cs="Times New Roman"/>
          <w:b/>
          <w:sz w:val="24"/>
          <w:shd w:val="clear" w:color="auto" w:fill="FFFFFF"/>
        </w:rPr>
      </w:pPr>
    </w:p>
    <w:p w:rsidR="00D24B6A" w:rsidRDefault="00D24B6A" w:rsidP="00BD13FE">
      <w:pPr>
        <w:autoSpaceDE w:val="0"/>
        <w:autoSpaceDN w:val="0"/>
        <w:adjustRightInd w:val="0"/>
        <w:rPr>
          <w:rFonts w:ascii="Times New Roman" w:eastAsia="Calibri" w:hAnsi="Times New Roman" w:cs="Times New Roman"/>
          <w:b/>
          <w:sz w:val="24"/>
          <w:shd w:val="clear" w:color="auto" w:fill="FFFFFF"/>
        </w:rPr>
      </w:pPr>
      <w:r>
        <w:rPr>
          <w:rFonts w:ascii="Times New Roman" w:eastAsia="Calibri" w:hAnsi="Times New Roman" w:cs="Times New Roman"/>
          <w:b/>
          <w:sz w:val="24"/>
          <w:shd w:val="clear" w:color="auto" w:fill="FFFFFF"/>
        </w:rPr>
        <w:t>Step</w:t>
      </w:r>
      <w:r w:rsidR="00CC450B">
        <w:rPr>
          <w:rFonts w:ascii="Times New Roman" w:eastAsia="Calibri" w:hAnsi="Times New Roman" w:cs="Times New Roman"/>
          <w:b/>
          <w:sz w:val="24"/>
          <w:shd w:val="clear" w:color="auto" w:fill="FFFFFF"/>
        </w:rPr>
        <w:t xml:space="preserve"> 5</w:t>
      </w:r>
      <w:r>
        <w:rPr>
          <w:rFonts w:ascii="Times New Roman" w:eastAsia="Calibri" w:hAnsi="Times New Roman" w:cs="Times New Roman"/>
          <w:b/>
          <w:sz w:val="24"/>
          <w:shd w:val="clear" w:color="auto" w:fill="FFFFFF"/>
        </w:rPr>
        <w:t xml:space="preserve">:  Calculate the two-sided 90% confidence interval of the ratio of the within subject standard deviation of the test product to the reference product </w:t>
      </w:r>
      <m:oMath>
        <m:d>
          <m:dPr>
            <m:ctrlPr>
              <w:rPr>
                <w:rFonts w:ascii="Cambria Math" w:eastAsia="Calibri" w:hAnsi="Cambria Math" w:cs="Times New Roman"/>
                <w:b/>
                <w:i/>
                <w:sz w:val="24"/>
                <w:shd w:val="clear" w:color="auto" w:fill="FFFFFF"/>
              </w:rPr>
            </m:ctrlPr>
          </m:dPr>
          <m:e>
            <m:f>
              <m:fPr>
                <m:type m:val="skw"/>
                <m:ctrlPr>
                  <w:rPr>
                    <w:rFonts w:ascii="Cambria Math" w:eastAsia="Calibri" w:hAnsi="Cambria Math" w:cs="Times New Roman"/>
                    <w:b/>
                    <w:i/>
                    <w:sz w:val="24"/>
                    <w:shd w:val="clear" w:color="auto" w:fill="FFFFFF"/>
                  </w:rPr>
                </m:ctrlPr>
              </m:fPr>
              <m:num>
                <m:sSub>
                  <m:sSubPr>
                    <m:ctrlPr>
                      <w:rPr>
                        <w:rFonts w:ascii="Cambria Math" w:eastAsia="Calibri" w:hAnsi="Cambria Math" w:cs="Times New Roman"/>
                        <w:b/>
                        <w:i/>
                        <w:sz w:val="24"/>
                        <w:shd w:val="clear" w:color="auto" w:fill="FFFFFF"/>
                      </w:rPr>
                    </m:ctrlPr>
                  </m:sSubPr>
                  <m:e>
                    <m:r>
                      <m:rPr>
                        <m:sty m:val="bi"/>
                      </m:rPr>
                      <w:rPr>
                        <w:rFonts w:ascii="Cambria Math" w:eastAsia="Calibri" w:hAnsi="Cambria Math" w:cs="Times New Roman"/>
                        <w:sz w:val="24"/>
                        <w:shd w:val="clear" w:color="auto" w:fill="FFFFFF"/>
                      </w:rPr>
                      <m:t>σ</m:t>
                    </m:r>
                  </m:e>
                  <m:sub>
                    <m:r>
                      <m:rPr>
                        <m:sty m:val="bi"/>
                      </m:rPr>
                      <w:rPr>
                        <w:rFonts w:ascii="Cambria Math" w:eastAsia="Calibri" w:hAnsi="Cambria Math" w:cs="Times New Roman"/>
                        <w:sz w:val="24"/>
                        <w:shd w:val="clear" w:color="auto" w:fill="FFFFFF"/>
                      </w:rPr>
                      <m:t>WT</m:t>
                    </m:r>
                  </m:sub>
                </m:sSub>
              </m:num>
              <m:den>
                <m:sSub>
                  <m:sSubPr>
                    <m:ctrlPr>
                      <w:rPr>
                        <w:rFonts w:ascii="Cambria Math" w:eastAsia="Calibri" w:hAnsi="Cambria Math" w:cs="Times New Roman"/>
                        <w:b/>
                        <w:i/>
                        <w:sz w:val="24"/>
                        <w:shd w:val="clear" w:color="auto" w:fill="FFFFFF"/>
                      </w:rPr>
                    </m:ctrlPr>
                  </m:sSubPr>
                  <m:e>
                    <m:r>
                      <m:rPr>
                        <m:sty m:val="bi"/>
                      </m:rPr>
                      <w:rPr>
                        <w:rFonts w:ascii="Cambria Math" w:eastAsia="Calibri" w:hAnsi="Cambria Math" w:cs="Times New Roman"/>
                        <w:sz w:val="24"/>
                        <w:shd w:val="clear" w:color="auto" w:fill="FFFFFF"/>
                      </w:rPr>
                      <m:t>σ</m:t>
                    </m:r>
                  </m:e>
                  <m:sub>
                    <m:r>
                      <m:rPr>
                        <m:sty m:val="bi"/>
                      </m:rPr>
                      <w:rPr>
                        <w:rFonts w:ascii="Cambria Math" w:eastAsia="Calibri" w:hAnsi="Cambria Math" w:cs="Times New Roman"/>
                        <w:sz w:val="24"/>
                        <w:shd w:val="clear" w:color="auto" w:fill="FFFFFF"/>
                      </w:rPr>
                      <m:t>WR</m:t>
                    </m:r>
                  </m:sub>
                </m:sSub>
              </m:den>
            </m:f>
          </m:e>
        </m:d>
      </m:oMath>
      <w:r>
        <w:rPr>
          <w:rFonts w:ascii="Times New Roman" w:eastAsia="Calibri" w:hAnsi="Times New Roman" w:cs="Times New Roman"/>
          <w:b/>
          <w:sz w:val="24"/>
          <w:shd w:val="clear" w:color="auto" w:fill="FFFFFF"/>
        </w:rPr>
        <w:t xml:space="preserve">.  </w:t>
      </w:r>
    </w:p>
    <w:p w:rsidR="00D24B6A" w:rsidRDefault="00D24B6A" w:rsidP="00BD13FE">
      <w:pPr>
        <w:autoSpaceDE w:val="0"/>
        <w:autoSpaceDN w:val="0"/>
        <w:adjustRightInd w:val="0"/>
        <w:rPr>
          <w:rFonts w:ascii="Times New Roman" w:eastAsia="Calibri" w:hAnsi="Times New Roman" w:cs="Times New Roman"/>
          <w:b/>
          <w:sz w:val="24"/>
          <w:shd w:val="clear" w:color="auto" w:fill="FFFFFF"/>
        </w:rPr>
      </w:pPr>
    </w:p>
    <w:p w:rsidR="00D24B6A" w:rsidRDefault="00D875AC" w:rsidP="00BD13FE">
      <w:p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The two-sided 90% confidence interval was calculated using the within subject standard deviations and the corresponding degrees of freedom</w:t>
      </w:r>
      <w:r w:rsidR="00DE103F">
        <w:rPr>
          <w:rFonts w:ascii="Times New Roman" w:eastAsia="Calibri" w:hAnsi="Times New Roman" w:cs="Times New Roman"/>
          <w:sz w:val="24"/>
          <w:shd w:val="clear" w:color="auto" w:fill="FFFFFF"/>
        </w:rPr>
        <w:t xml:space="preserve"> </w:t>
      </w:r>
      <w:r w:rsidR="00DE103F" w:rsidRPr="00DE103F">
        <w:rPr>
          <w:rFonts w:ascii="Times New Roman" w:eastAsia="Calibri" w:hAnsi="Times New Roman" w:cs="Times New Roman"/>
          <w:i/>
          <w:sz w:val="24"/>
          <w:shd w:val="clear" w:color="auto" w:fill="FFFFFF"/>
        </w:rPr>
        <w:t>(v</w:t>
      </w:r>
      <w:r w:rsidR="00DE103F" w:rsidRPr="00DE103F">
        <w:rPr>
          <w:rFonts w:ascii="Times New Roman" w:eastAsia="Calibri" w:hAnsi="Times New Roman" w:cs="Times New Roman"/>
          <w:i/>
          <w:sz w:val="24"/>
          <w:shd w:val="clear" w:color="auto" w:fill="FFFFFF"/>
          <w:vertAlign w:val="subscript"/>
        </w:rPr>
        <w:t>T</w:t>
      </w:r>
      <w:r w:rsidR="00DE103F" w:rsidRPr="00DE103F">
        <w:rPr>
          <w:rFonts w:ascii="Times New Roman" w:eastAsia="Calibri" w:hAnsi="Times New Roman" w:cs="Times New Roman"/>
          <w:i/>
          <w:sz w:val="24"/>
          <w:shd w:val="clear" w:color="auto" w:fill="FFFFFF"/>
        </w:rPr>
        <w:t>,v</w:t>
      </w:r>
      <w:r w:rsidR="00DE103F" w:rsidRPr="00DE103F">
        <w:rPr>
          <w:rFonts w:ascii="Times New Roman" w:eastAsia="Calibri" w:hAnsi="Times New Roman" w:cs="Times New Roman"/>
          <w:i/>
          <w:sz w:val="24"/>
          <w:shd w:val="clear" w:color="auto" w:fill="FFFFFF"/>
          <w:vertAlign w:val="subscript"/>
        </w:rPr>
        <w:t>R</w:t>
      </w:r>
      <w:r w:rsidR="00DE103F" w:rsidRPr="00DE103F">
        <w:rPr>
          <w:rFonts w:ascii="Times New Roman" w:eastAsia="Calibri" w:hAnsi="Times New Roman" w:cs="Times New Roman"/>
          <w:i/>
          <w:sz w:val="24"/>
          <w:shd w:val="clear" w:color="auto" w:fill="FFFFFF"/>
        </w:rPr>
        <w:t>)</w:t>
      </w:r>
      <w:r w:rsidR="00DE103F">
        <w:rPr>
          <w:rFonts w:ascii="Times New Roman" w:eastAsia="Calibri" w:hAnsi="Times New Roman" w:cs="Times New Roman"/>
          <w:i/>
          <w:sz w:val="24"/>
          <w:shd w:val="clear" w:color="auto" w:fill="FFFFFF"/>
          <w:vertAlign w:val="subscript"/>
        </w:rPr>
        <w:t xml:space="preserve">  </w:t>
      </w:r>
      <w:r>
        <w:rPr>
          <w:rFonts w:ascii="Times New Roman" w:eastAsia="Calibri" w:hAnsi="Times New Roman" w:cs="Times New Roman"/>
          <w:sz w:val="24"/>
          <w:shd w:val="clear" w:color="auto" w:fill="FFFFFF"/>
        </w:rPr>
        <w:t>obtained in Step 1.  The formula used to calculate the interval was:</w:t>
      </w:r>
    </w:p>
    <w:p w:rsidR="00D875AC" w:rsidRDefault="00D875AC" w:rsidP="00BD13FE">
      <w:pPr>
        <w:autoSpaceDE w:val="0"/>
        <w:autoSpaceDN w:val="0"/>
        <w:adjustRightInd w:val="0"/>
        <w:rPr>
          <w:rFonts w:ascii="Times New Roman" w:eastAsia="Calibri" w:hAnsi="Times New Roman" w:cs="Times New Roman"/>
          <w:sz w:val="24"/>
          <w:shd w:val="clear" w:color="auto" w:fill="FFFFFF"/>
        </w:rPr>
      </w:pPr>
    </w:p>
    <w:p w:rsidR="00D875AC" w:rsidRPr="00DE103F" w:rsidRDefault="001D78FF" w:rsidP="00BD13FE">
      <w:pPr>
        <w:autoSpaceDE w:val="0"/>
        <w:autoSpaceDN w:val="0"/>
        <w:adjustRightInd w:val="0"/>
        <w:rPr>
          <w:rFonts w:ascii="Times New Roman" w:eastAsia="Calibri" w:hAnsi="Times New Roman" w:cs="Times New Roman"/>
          <w:sz w:val="24"/>
          <w:shd w:val="clear" w:color="auto" w:fill="FFFFFF"/>
        </w:rPr>
      </w:pPr>
      <m:oMathPara>
        <m:oMath>
          <m:d>
            <m:dPr>
              <m:ctrlPr>
                <w:rPr>
                  <w:rFonts w:ascii="Cambria Math" w:eastAsia="Calibri" w:hAnsi="Cambria Math" w:cs="Times New Roman"/>
                  <w:i/>
                  <w:sz w:val="24"/>
                  <w:shd w:val="clear" w:color="auto" w:fill="FFFFFF"/>
                </w:rPr>
              </m:ctrlPr>
            </m:dPr>
            <m:e>
              <m:f>
                <m:fPr>
                  <m:ctrlPr>
                    <w:rPr>
                      <w:rFonts w:ascii="Cambria Math" w:eastAsia="Calibri" w:hAnsi="Cambria Math" w:cs="Times New Roman"/>
                      <w:i/>
                      <w:sz w:val="24"/>
                      <w:shd w:val="clear" w:color="auto" w:fill="FFFFFF"/>
                    </w:rPr>
                  </m:ctrlPr>
                </m:fPr>
                <m:num>
                  <m:f>
                    <m:fPr>
                      <m:type m:val="skw"/>
                      <m:ctrlPr>
                        <w:rPr>
                          <w:rFonts w:ascii="Cambria Math" w:eastAsia="Calibri" w:hAnsi="Cambria Math" w:cs="Times New Roman"/>
                          <w:i/>
                          <w:sz w:val="24"/>
                          <w:shd w:val="clear" w:color="auto" w:fill="FFFFFF"/>
                        </w:rPr>
                      </m:ctrlPr>
                    </m:fPr>
                    <m:num>
                      <m:sSub>
                        <m:sSubPr>
                          <m:ctrlPr>
                            <w:rPr>
                              <w:rFonts w:ascii="Cambria Math" w:eastAsia="Calibri" w:hAnsi="Cambria Math" w:cs="Times New Roman"/>
                              <w:i/>
                              <w:sz w:val="24"/>
                              <w:shd w:val="clear" w:color="auto" w:fill="FFFFFF"/>
                            </w:rPr>
                          </m:ctrlPr>
                        </m:sSubPr>
                        <m:e>
                          <m:r>
                            <w:rPr>
                              <w:rFonts w:ascii="Cambria Math" w:eastAsia="Calibri" w:hAnsi="Cambria Math" w:cs="Times New Roman"/>
                              <w:sz w:val="24"/>
                              <w:shd w:val="clear" w:color="auto" w:fill="FFFFFF"/>
                            </w:rPr>
                            <m:t>S</m:t>
                          </m:r>
                        </m:e>
                        <m:sub>
                          <m:r>
                            <w:rPr>
                              <w:rFonts w:ascii="Cambria Math" w:eastAsia="Calibri" w:hAnsi="Cambria Math" w:cs="Times New Roman"/>
                              <w:sz w:val="24"/>
                              <w:shd w:val="clear" w:color="auto" w:fill="FFFFFF"/>
                            </w:rPr>
                            <m:t>WT</m:t>
                          </m:r>
                        </m:sub>
                      </m:sSub>
                    </m:num>
                    <m:den>
                      <m:sSub>
                        <m:sSubPr>
                          <m:ctrlPr>
                            <w:rPr>
                              <w:rFonts w:ascii="Cambria Math" w:eastAsia="Calibri" w:hAnsi="Cambria Math" w:cs="Times New Roman"/>
                              <w:i/>
                              <w:sz w:val="24"/>
                              <w:shd w:val="clear" w:color="auto" w:fill="FFFFFF"/>
                            </w:rPr>
                          </m:ctrlPr>
                        </m:sSubPr>
                        <m:e>
                          <m:r>
                            <w:rPr>
                              <w:rFonts w:ascii="Cambria Math" w:eastAsia="Calibri" w:hAnsi="Cambria Math" w:cs="Times New Roman"/>
                              <w:sz w:val="24"/>
                              <w:shd w:val="clear" w:color="auto" w:fill="FFFFFF"/>
                            </w:rPr>
                            <m:t>S</m:t>
                          </m:r>
                        </m:e>
                        <m:sub>
                          <m:r>
                            <w:rPr>
                              <w:rFonts w:ascii="Cambria Math" w:eastAsia="Calibri" w:hAnsi="Cambria Math" w:cs="Times New Roman"/>
                              <w:sz w:val="24"/>
                              <w:shd w:val="clear" w:color="auto" w:fill="FFFFFF"/>
                            </w:rPr>
                            <m:t>WR</m:t>
                          </m:r>
                        </m:sub>
                      </m:sSub>
                    </m:den>
                  </m:f>
                </m:num>
                <m:den>
                  <m:rad>
                    <m:radPr>
                      <m:degHide m:val="1"/>
                      <m:ctrlPr>
                        <w:rPr>
                          <w:rFonts w:ascii="Cambria Math" w:eastAsia="Calibri" w:hAnsi="Cambria Math" w:cs="Times New Roman"/>
                          <w:i/>
                          <w:sz w:val="24"/>
                          <w:shd w:val="clear" w:color="auto" w:fill="FFFFFF"/>
                        </w:rPr>
                      </m:ctrlPr>
                    </m:radPr>
                    <m:deg/>
                    <m:e>
                      <m:sSub>
                        <m:sSubPr>
                          <m:ctrlPr>
                            <w:rPr>
                              <w:rFonts w:ascii="Cambria Math" w:eastAsia="Calibri" w:hAnsi="Cambria Math" w:cs="Times New Roman"/>
                              <w:i/>
                              <w:sz w:val="24"/>
                              <w:shd w:val="clear" w:color="auto" w:fill="FFFFFF"/>
                            </w:rPr>
                          </m:ctrlPr>
                        </m:sSubPr>
                        <m:e>
                          <m:r>
                            <w:rPr>
                              <w:rFonts w:ascii="Cambria Math" w:eastAsia="Calibri" w:hAnsi="Cambria Math" w:cs="Times New Roman"/>
                              <w:sz w:val="24"/>
                              <w:shd w:val="clear" w:color="auto" w:fill="FFFFFF"/>
                            </w:rPr>
                            <m:t>F</m:t>
                          </m:r>
                        </m:e>
                        <m:sub>
                          <m:r>
                            <w:rPr>
                              <w:rFonts w:ascii="Cambria Math" w:eastAsia="Calibri" w:hAnsi="Cambria Math" w:cs="Times New Roman"/>
                              <w:sz w:val="24"/>
                              <w:shd w:val="clear" w:color="auto" w:fill="FFFFFF"/>
                            </w:rPr>
                            <m:t>0.05,</m:t>
                          </m:r>
                          <m:sSub>
                            <m:sSubPr>
                              <m:ctrlPr>
                                <w:rPr>
                                  <w:rFonts w:ascii="Cambria Math" w:eastAsia="Calibri" w:hAnsi="Cambria Math" w:cs="Times New Roman"/>
                                  <w:i/>
                                  <w:sz w:val="24"/>
                                  <w:shd w:val="clear" w:color="auto" w:fill="FFFFFF"/>
                                </w:rPr>
                              </m:ctrlPr>
                            </m:sSubPr>
                            <m:e>
                              <m:r>
                                <w:rPr>
                                  <w:rFonts w:ascii="Cambria Math" w:eastAsia="Calibri" w:hAnsi="Cambria Math" w:cs="Times New Roman"/>
                                  <w:sz w:val="24"/>
                                  <w:shd w:val="clear" w:color="auto" w:fill="FFFFFF"/>
                                </w:rPr>
                                <m:t>v</m:t>
                              </m:r>
                            </m:e>
                            <m:sub>
                              <m:r>
                                <w:rPr>
                                  <w:rFonts w:ascii="Cambria Math" w:eastAsia="Calibri" w:hAnsi="Cambria Math" w:cs="Times New Roman"/>
                                  <w:sz w:val="24"/>
                                  <w:shd w:val="clear" w:color="auto" w:fill="FFFFFF"/>
                                </w:rPr>
                                <m:t>T,</m:t>
                              </m:r>
                            </m:sub>
                          </m:sSub>
                          <m:r>
                            <w:rPr>
                              <w:rFonts w:ascii="Cambria Math" w:eastAsia="Calibri" w:hAnsi="Cambria Math" w:cs="Times New Roman"/>
                              <w:sz w:val="24"/>
                              <w:shd w:val="clear" w:color="auto" w:fill="FFFFFF"/>
                            </w:rPr>
                            <m:t>,</m:t>
                          </m:r>
                          <m:sSub>
                            <m:sSubPr>
                              <m:ctrlPr>
                                <w:rPr>
                                  <w:rFonts w:ascii="Cambria Math" w:eastAsia="Calibri" w:hAnsi="Cambria Math" w:cs="Times New Roman"/>
                                  <w:i/>
                                  <w:sz w:val="24"/>
                                  <w:shd w:val="clear" w:color="auto" w:fill="FFFFFF"/>
                                </w:rPr>
                              </m:ctrlPr>
                            </m:sSubPr>
                            <m:e>
                              <m:r>
                                <w:rPr>
                                  <w:rFonts w:ascii="Cambria Math" w:eastAsia="Calibri" w:hAnsi="Cambria Math" w:cs="Times New Roman"/>
                                  <w:sz w:val="24"/>
                                  <w:shd w:val="clear" w:color="auto" w:fill="FFFFFF"/>
                                </w:rPr>
                                <m:t>v</m:t>
                              </m:r>
                            </m:e>
                            <m:sub>
                              <m:r>
                                <w:rPr>
                                  <w:rFonts w:ascii="Cambria Math" w:eastAsia="Calibri" w:hAnsi="Cambria Math" w:cs="Times New Roman"/>
                                  <w:sz w:val="24"/>
                                  <w:shd w:val="clear" w:color="auto" w:fill="FFFFFF"/>
                                </w:rPr>
                                <m:t>R</m:t>
                              </m:r>
                            </m:sub>
                          </m:sSub>
                        </m:sub>
                      </m:sSub>
                    </m:e>
                  </m:rad>
                </m:den>
              </m:f>
              <m:r>
                <w:rPr>
                  <w:rFonts w:ascii="Cambria Math" w:eastAsia="Calibri" w:hAnsi="Cambria Math" w:cs="Times New Roman"/>
                  <w:sz w:val="24"/>
                  <w:shd w:val="clear" w:color="auto" w:fill="FFFFFF"/>
                </w:rPr>
                <m:t xml:space="preserve"> , </m:t>
              </m:r>
              <m:f>
                <m:fPr>
                  <m:ctrlPr>
                    <w:rPr>
                      <w:rFonts w:ascii="Cambria Math" w:eastAsia="Calibri" w:hAnsi="Cambria Math" w:cs="Times New Roman"/>
                      <w:i/>
                      <w:sz w:val="24"/>
                      <w:shd w:val="clear" w:color="auto" w:fill="FFFFFF"/>
                    </w:rPr>
                  </m:ctrlPr>
                </m:fPr>
                <m:num>
                  <m:f>
                    <m:fPr>
                      <m:type m:val="skw"/>
                      <m:ctrlPr>
                        <w:rPr>
                          <w:rFonts w:ascii="Cambria Math" w:eastAsia="Calibri" w:hAnsi="Cambria Math" w:cs="Times New Roman"/>
                          <w:i/>
                          <w:sz w:val="24"/>
                          <w:shd w:val="clear" w:color="auto" w:fill="FFFFFF"/>
                        </w:rPr>
                      </m:ctrlPr>
                    </m:fPr>
                    <m:num>
                      <m:sSub>
                        <m:sSubPr>
                          <m:ctrlPr>
                            <w:rPr>
                              <w:rFonts w:ascii="Cambria Math" w:eastAsia="Calibri" w:hAnsi="Cambria Math" w:cs="Times New Roman"/>
                              <w:i/>
                              <w:sz w:val="24"/>
                              <w:shd w:val="clear" w:color="auto" w:fill="FFFFFF"/>
                            </w:rPr>
                          </m:ctrlPr>
                        </m:sSubPr>
                        <m:e>
                          <m:r>
                            <w:rPr>
                              <w:rFonts w:ascii="Cambria Math" w:eastAsia="Calibri" w:hAnsi="Cambria Math" w:cs="Times New Roman"/>
                              <w:sz w:val="24"/>
                              <w:shd w:val="clear" w:color="auto" w:fill="FFFFFF"/>
                            </w:rPr>
                            <m:t>S</m:t>
                          </m:r>
                        </m:e>
                        <m:sub>
                          <m:r>
                            <w:rPr>
                              <w:rFonts w:ascii="Cambria Math" w:eastAsia="Calibri" w:hAnsi="Cambria Math" w:cs="Times New Roman"/>
                              <w:sz w:val="24"/>
                              <w:shd w:val="clear" w:color="auto" w:fill="FFFFFF"/>
                            </w:rPr>
                            <m:t>WT</m:t>
                          </m:r>
                        </m:sub>
                      </m:sSub>
                    </m:num>
                    <m:den>
                      <m:sSub>
                        <m:sSubPr>
                          <m:ctrlPr>
                            <w:rPr>
                              <w:rFonts w:ascii="Cambria Math" w:eastAsia="Calibri" w:hAnsi="Cambria Math" w:cs="Times New Roman"/>
                              <w:i/>
                              <w:sz w:val="24"/>
                              <w:shd w:val="clear" w:color="auto" w:fill="FFFFFF"/>
                            </w:rPr>
                          </m:ctrlPr>
                        </m:sSubPr>
                        <m:e>
                          <m:r>
                            <w:rPr>
                              <w:rFonts w:ascii="Cambria Math" w:eastAsia="Calibri" w:hAnsi="Cambria Math" w:cs="Times New Roman"/>
                              <w:sz w:val="24"/>
                              <w:shd w:val="clear" w:color="auto" w:fill="FFFFFF"/>
                            </w:rPr>
                            <m:t>S</m:t>
                          </m:r>
                        </m:e>
                        <m:sub>
                          <m:r>
                            <w:rPr>
                              <w:rFonts w:ascii="Cambria Math" w:eastAsia="Calibri" w:hAnsi="Cambria Math" w:cs="Times New Roman"/>
                              <w:sz w:val="24"/>
                              <w:shd w:val="clear" w:color="auto" w:fill="FFFFFF"/>
                            </w:rPr>
                            <m:t>WR</m:t>
                          </m:r>
                        </m:sub>
                      </m:sSub>
                    </m:den>
                  </m:f>
                </m:num>
                <m:den>
                  <m:rad>
                    <m:radPr>
                      <m:degHide m:val="1"/>
                      <m:ctrlPr>
                        <w:rPr>
                          <w:rFonts w:ascii="Cambria Math" w:eastAsia="Calibri" w:hAnsi="Cambria Math" w:cs="Times New Roman"/>
                          <w:i/>
                          <w:sz w:val="24"/>
                          <w:shd w:val="clear" w:color="auto" w:fill="FFFFFF"/>
                        </w:rPr>
                      </m:ctrlPr>
                    </m:radPr>
                    <m:deg/>
                    <m:e>
                      <m:sSub>
                        <m:sSubPr>
                          <m:ctrlPr>
                            <w:rPr>
                              <w:rFonts w:ascii="Cambria Math" w:eastAsia="Calibri" w:hAnsi="Cambria Math" w:cs="Times New Roman"/>
                              <w:i/>
                              <w:sz w:val="24"/>
                              <w:shd w:val="clear" w:color="auto" w:fill="FFFFFF"/>
                            </w:rPr>
                          </m:ctrlPr>
                        </m:sSubPr>
                        <m:e>
                          <m:r>
                            <w:rPr>
                              <w:rFonts w:ascii="Cambria Math" w:eastAsia="Calibri" w:hAnsi="Cambria Math" w:cs="Times New Roman"/>
                              <w:sz w:val="24"/>
                              <w:shd w:val="clear" w:color="auto" w:fill="FFFFFF"/>
                            </w:rPr>
                            <m:t>F</m:t>
                          </m:r>
                        </m:e>
                        <m:sub>
                          <m:r>
                            <w:rPr>
                              <w:rFonts w:ascii="Cambria Math" w:eastAsia="Calibri" w:hAnsi="Cambria Math" w:cs="Times New Roman"/>
                              <w:sz w:val="24"/>
                              <w:shd w:val="clear" w:color="auto" w:fill="FFFFFF"/>
                            </w:rPr>
                            <m:t>0.95,</m:t>
                          </m:r>
                          <m:sSub>
                            <m:sSubPr>
                              <m:ctrlPr>
                                <w:rPr>
                                  <w:rFonts w:ascii="Cambria Math" w:eastAsia="Calibri" w:hAnsi="Cambria Math" w:cs="Times New Roman"/>
                                  <w:i/>
                                  <w:sz w:val="24"/>
                                  <w:shd w:val="clear" w:color="auto" w:fill="FFFFFF"/>
                                </w:rPr>
                              </m:ctrlPr>
                            </m:sSubPr>
                            <m:e>
                              <m:r>
                                <w:rPr>
                                  <w:rFonts w:ascii="Cambria Math" w:eastAsia="Calibri" w:hAnsi="Cambria Math" w:cs="Times New Roman"/>
                                  <w:sz w:val="24"/>
                                  <w:shd w:val="clear" w:color="auto" w:fill="FFFFFF"/>
                                </w:rPr>
                                <m:t>v</m:t>
                              </m:r>
                            </m:e>
                            <m:sub>
                              <m:r>
                                <w:rPr>
                                  <w:rFonts w:ascii="Cambria Math" w:eastAsia="Calibri" w:hAnsi="Cambria Math" w:cs="Times New Roman"/>
                                  <w:sz w:val="24"/>
                                  <w:shd w:val="clear" w:color="auto" w:fill="FFFFFF"/>
                                </w:rPr>
                                <m:t>T,</m:t>
                              </m:r>
                            </m:sub>
                          </m:sSub>
                          <m:r>
                            <w:rPr>
                              <w:rFonts w:ascii="Cambria Math" w:eastAsia="Calibri" w:hAnsi="Cambria Math" w:cs="Times New Roman"/>
                              <w:sz w:val="24"/>
                              <w:shd w:val="clear" w:color="auto" w:fill="FFFFFF"/>
                            </w:rPr>
                            <m:t>,</m:t>
                          </m:r>
                          <m:sSub>
                            <m:sSubPr>
                              <m:ctrlPr>
                                <w:rPr>
                                  <w:rFonts w:ascii="Cambria Math" w:eastAsia="Calibri" w:hAnsi="Cambria Math" w:cs="Times New Roman"/>
                                  <w:i/>
                                  <w:sz w:val="24"/>
                                  <w:shd w:val="clear" w:color="auto" w:fill="FFFFFF"/>
                                </w:rPr>
                              </m:ctrlPr>
                            </m:sSubPr>
                            <m:e>
                              <m:r>
                                <w:rPr>
                                  <w:rFonts w:ascii="Cambria Math" w:eastAsia="Calibri" w:hAnsi="Cambria Math" w:cs="Times New Roman"/>
                                  <w:sz w:val="24"/>
                                  <w:shd w:val="clear" w:color="auto" w:fill="FFFFFF"/>
                                </w:rPr>
                                <m:t>v</m:t>
                              </m:r>
                            </m:e>
                            <m:sub>
                              <m:r>
                                <w:rPr>
                                  <w:rFonts w:ascii="Cambria Math" w:eastAsia="Calibri" w:hAnsi="Cambria Math" w:cs="Times New Roman"/>
                                  <w:sz w:val="24"/>
                                  <w:shd w:val="clear" w:color="auto" w:fill="FFFFFF"/>
                                </w:rPr>
                                <m:t>R</m:t>
                              </m:r>
                            </m:sub>
                          </m:sSub>
                        </m:sub>
                      </m:sSub>
                    </m:e>
                  </m:rad>
                </m:den>
              </m:f>
              <m:r>
                <w:rPr>
                  <w:rFonts w:ascii="Cambria Math" w:eastAsia="Calibri" w:hAnsi="Cambria Math" w:cs="Times New Roman"/>
                  <w:sz w:val="24"/>
                  <w:shd w:val="clear" w:color="auto" w:fill="FFFFFF"/>
                </w:rPr>
                <m:t xml:space="preserve">  </m:t>
              </m:r>
            </m:e>
          </m:d>
        </m:oMath>
      </m:oMathPara>
    </w:p>
    <w:p w:rsidR="00DE103F" w:rsidRDefault="00DE103F" w:rsidP="00BD13FE">
      <w:pPr>
        <w:autoSpaceDE w:val="0"/>
        <w:autoSpaceDN w:val="0"/>
        <w:adjustRightInd w:val="0"/>
        <w:rPr>
          <w:rFonts w:ascii="Times New Roman" w:eastAsia="Calibri" w:hAnsi="Times New Roman" w:cs="Times New Roman"/>
          <w:sz w:val="24"/>
          <w:shd w:val="clear" w:color="auto" w:fill="FFFFFF"/>
        </w:rPr>
      </w:pPr>
    </w:p>
    <w:p w:rsidR="00DE103F" w:rsidRPr="00D875AC" w:rsidRDefault="00F50FCC" w:rsidP="00BD13FE">
      <w:p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The upper limit of this confidence interval was compared to 2.5.</w:t>
      </w:r>
    </w:p>
    <w:p w:rsidR="00D24B6A" w:rsidRDefault="00D24B6A" w:rsidP="00BD13FE">
      <w:pPr>
        <w:autoSpaceDE w:val="0"/>
        <w:autoSpaceDN w:val="0"/>
        <w:adjustRightInd w:val="0"/>
        <w:rPr>
          <w:rFonts w:ascii="Times New Roman" w:eastAsia="Calibri" w:hAnsi="Times New Roman" w:cs="Times New Roman"/>
          <w:b/>
          <w:sz w:val="24"/>
          <w:shd w:val="clear" w:color="auto" w:fill="FFFFFF"/>
        </w:rPr>
      </w:pPr>
    </w:p>
    <w:p w:rsidR="006E18DB" w:rsidRDefault="006E18DB" w:rsidP="00BD13FE">
      <w:pPr>
        <w:autoSpaceDE w:val="0"/>
        <w:autoSpaceDN w:val="0"/>
        <w:adjustRightInd w:val="0"/>
        <w:rPr>
          <w:rFonts w:ascii="Times New Roman" w:eastAsia="Calibri" w:hAnsi="Times New Roman" w:cs="Times New Roman"/>
          <w:sz w:val="24"/>
          <w:shd w:val="clear" w:color="auto" w:fill="FFFFFF"/>
        </w:rPr>
      </w:pPr>
      <w:r w:rsidRPr="006E18DB">
        <w:rPr>
          <w:rFonts w:ascii="Times New Roman" w:eastAsia="Calibri" w:hAnsi="Times New Roman" w:cs="Times New Roman"/>
          <w:b/>
          <w:sz w:val="24"/>
          <w:shd w:val="clear" w:color="auto" w:fill="FFFFFF"/>
        </w:rPr>
        <w:lastRenderedPageBreak/>
        <w:t xml:space="preserve">Step </w:t>
      </w:r>
      <w:r w:rsidR="00720DE6">
        <w:rPr>
          <w:rFonts w:ascii="Times New Roman" w:eastAsia="Calibri" w:hAnsi="Times New Roman" w:cs="Times New Roman"/>
          <w:b/>
          <w:sz w:val="24"/>
          <w:shd w:val="clear" w:color="auto" w:fill="FFFFFF"/>
        </w:rPr>
        <w:t>6</w:t>
      </w:r>
      <w:r w:rsidRPr="006E18DB">
        <w:rPr>
          <w:rFonts w:ascii="Times New Roman" w:eastAsia="Calibri" w:hAnsi="Times New Roman" w:cs="Times New Roman"/>
          <w:b/>
          <w:sz w:val="24"/>
          <w:shd w:val="clear" w:color="auto" w:fill="FFFFFF"/>
        </w:rPr>
        <w:t xml:space="preserve">:  </w:t>
      </w:r>
      <w:r w:rsidRPr="007F72A8">
        <w:rPr>
          <w:rFonts w:ascii="Times New Roman" w:eastAsia="Calibri" w:hAnsi="Times New Roman" w:cs="Times New Roman"/>
          <w:b/>
          <w:sz w:val="24"/>
          <w:shd w:val="clear" w:color="auto" w:fill="FFFFFF"/>
        </w:rPr>
        <w:t xml:space="preserve">SCABE was concluded if </w:t>
      </w:r>
      <w:r w:rsidR="00C75ECA">
        <w:rPr>
          <w:rFonts w:ascii="Times New Roman" w:eastAsia="Calibri" w:hAnsi="Times New Roman" w:cs="Times New Roman"/>
          <w:b/>
          <w:sz w:val="24"/>
          <w:shd w:val="clear" w:color="auto" w:fill="FFFFFF"/>
        </w:rPr>
        <w:t>both</w:t>
      </w:r>
      <w:r w:rsidRPr="007F72A8">
        <w:rPr>
          <w:rFonts w:ascii="Times New Roman" w:eastAsia="Calibri" w:hAnsi="Times New Roman" w:cs="Times New Roman"/>
          <w:b/>
          <w:sz w:val="24"/>
          <w:shd w:val="clear" w:color="auto" w:fill="FFFFFF"/>
        </w:rPr>
        <w:t xml:space="preserve"> of the following criteri</w:t>
      </w:r>
      <w:r w:rsidR="00C75ECA">
        <w:rPr>
          <w:rFonts w:ascii="Times New Roman" w:eastAsia="Calibri" w:hAnsi="Times New Roman" w:cs="Times New Roman"/>
          <w:b/>
          <w:sz w:val="24"/>
          <w:shd w:val="clear" w:color="auto" w:fill="FFFFFF"/>
        </w:rPr>
        <w:t>on</w:t>
      </w:r>
      <w:r w:rsidRPr="007F72A8">
        <w:rPr>
          <w:rFonts w:ascii="Times New Roman" w:eastAsia="Calibri" w:hAnsi="Times New Roman" w:cs="Times New Roman"/>
          <w:b/>
          <w:sz w:val="24"/>
          <w:shd w:val="clear" w:color="auto" w:fill="FFFFFF"/>
        </w:rPr>
        <w:t xml:space="preserve"> were met:</w:t>
      </w:r>
      <w:r w:rsidRPr="006E18DB">
        <w:rPr>
          <w:rFonts w:ascii="Times New Roman" w:eastAsia="Calibri" w:hAnsi="Times New Roman" w:cs="Times New Roman"/>
          <w:sz w:val="24"/>
          <w:shd w:val="clear" w:color="auto" w:fill="FFFFFF"/>
        </w:rPr>
        <w:t xml:space="preserve">  </w:t>
      </w:r>
    </w:p>
    <w:p w:rsidR="006E18DB" w:rsidRDefault="006E18DB" w:rsidP="007F72A8">
      <w:pPr>
        <w:autoSpaceDE w:val="0"/>
        <w:autoSpaceDN w:val="0"/>
        <w:adjustRightInd w:val="0"/>
        <w:ind w:left="1170" w:hanging="270"/>
        <w:rPr>
          <w:rFonts w:ascii="Times New Roman" w:eastAsia="Calibri" w:hAnsi="Times New Roman" w:cs="Times New Roman"/>
          <w:sz w:val="24"/>
          <w:shd w:val="clear" w:color="auto" w:fill="FFFFFF"/>
        </w:rPr>
      </w:pPr>
      <w:r w:rsidRPr="006E18DB">
        <w:rPr>
          <w:rFonts w:ascii="Times New Roman" w:eastAsia="Calibri" w:hAnsi="Times New Roman" w:cs="Times New Roman"/>
          <w:sz w:val="24"/>
          <w:shd w:val="clear" w:color="auto" w:fill="FFFFFF"/>
        </w:rPr>
        <w:t>1) the two-sided 90% confidence interval calculated for the</w:t>
      </w:r>
      <w:r>
        <w:rPr>
          <w:rFonts w:ascii="Times New Roman" w:eastAsia="Calibri" w:hAnsi="Times New Roman" w:cs="Times New Roman"/>
          <w:sz w:val="24"/>
          <w:shd w:val="clear" w:color="auto" w:fill="FFFFFF"/>
        </w:rPr>
        <w:t xml:space="preserve"> average bioequivalence</w:t>
      </w:r>
      <w:r w:rsidRPr="006E18DB">
        <w:rPr>
          <w:rFonts w:ascii="Times New Roman" w:eastAsia="Calibri" w:hAnsi="Times New Roman" w:cs="Times New Roman"/>
          <w:sz w:val="24"/>
          <w:shd w:val="clear" w:color="auto" w:fill="FFFFFF"/>
        </w:rPr>
        <w:t xml:space="preserve"> assessment must fall entirely within the SCABE limits </w:t>
      </w:r>
    </w:p>
    <w:p w:rsidR="00D24B6A" w:rsidRPr="006E18DB" w:rsidRDefault="00C75ECA" w:rsidP="007F72A8">
      <w:pPr>
        <w:autoSpaceDE w:val="0"/>
        <w:autoSpaceDN w:val="0"/>
        <w:adjustRightInd w:val="0"/>
        <w:ind w:left="1170" w:hanging="27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2</w:t>
      </w:r>
      <w:r w:rsidR="006E18DB" w:rsidRPr="006E18DB">
        <w:rPr>
          <w:rFonts w:ascii="Times New Roman" w:eastAsia="Calibri" w:hAnsi="Times New Roman" w:cs="Times New Roman"/>
          <w:sz w:val="24"/>
          <w:shd w:val="clear" w:color="auto" w:fill="FFFFFF"/>
        </w:rPr>
        <w:t>) the upper 90% confidence limit for the ratio of the within subject variabilities for the</w:t>
      </w:r>
      <w:r w:rsidR="006E18DB">
        <w:rPr>
          <w:rFonts w:ascii="Times New Roman" w:eastAsia="Calibri" w:hAnsi="Times New Roman" w:cs="Times New Roman"/>
          <w:sz w:val="24"/>
          <w:shd w:val="clear" w:color="auto" w:fill="FFFFFF"/>
        </w:rPr>
        <w:t xml:space="preserve"> </w:t>
      </w:r>
      <w:r w:rsidR="006E18DB" w:rsidRPr="006E18DB">
        <w:rPr>
          <w:rFonts w:ascii="Times New Roman" w:eastAsia="Calibri" w:hAnsi="Times New Roman" w:cs="Times New Roman"/>
          <w:sz w:val="24"/>
          <w:shd w:val="clear" w:color="auto" w:fill="FFFFFF"/>
        </w:rPr>
        <w:t>two treatments being assessed must be less than 2.5.</w:t>
      </w:r>
    </w:p>
    <w:p w:rsidR="00D24B6A" w:rsidRDefault="00D24B6A" w:rsidP="006E18DB">
      <w:pPr>
        <w:autoSpaceDE w:val="0"/>
        <w:autoSpaceDN w:val="0"/>
        <w:adjustRightInd w:val="0"/>
        <w:ind w:left="1260" w:hanging="360"/>
        <w:rPr>
          <w:rFonts w:ascii="Times New Roman" w:eastAsia="Calibri" w:hAnsi="Times New Roman" w:cs="Times New Roman"/>
          <w:b/>
          <w:sz w:val="24"/>
          <w:shd w:val="clear" w:color="auto" w:fill="FFFFFF"/>
        </w:rPr>
      </w:pPr>
    </w:p>
    <w:p w:rsidR="00D24B6A" w:rsidRDefault="00601725" w:rsidP="00BD13FE">
      <w:p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b/>
          <w:sz w:val="24"/>
          <w:shd w:val="clear" w:color="auto" w:fill="FFFFFF"/>
        </w:rPr>
        <w:t>Subgroup analyses</w:t>
      </w:r>
    </w:p>
    <w:p w:rsidR="00601725" w:rsidRDefault="00601725" w:rsidP="00BD13FE">
      <w:pPr>
        <w:autoSpaceDE w:val="0"/>
        <w:autoSpaceDN w:val="0"/>
        <w:adjustRightInd w:val="0"/>
        <w:rPr>
          <w:rFonts w:ascii="Times New Roman" w:eastAsia="Calibri" w:hAnsi="Times New Roman" w:cs="Times New Roman"/>
          <w:sz w:val="24"/>
          <w:shd w:val="clear" w:color="auto" w:fill="FFFFFF"/>
        </w:rPr>
      </w:pPr>
    </w:p>
    <w:p w:rsidR="00601725" w:rsidRDefault="00EC6C2F" w:rsidP="00BD13FE">
      <w:p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ABE</w:t>
      </w:r>
      <w:r w:rsidR="00601725">
        <w:rPr>
          <w:rFonts w:ascii="Times New Roman" w:eastAsia="Calibri" w:hAnsi="Times New Roman" w:cs="Times New Roman"/>
          <w:sz w:val="24"/>
          <w:shd w:val="clear" w:color="auto" w:fill="FFFFFF"/>
        </w:rPr>
        <w:t xml:space="preserve"> and SCABE were assessed for the following subgroups of interest:</w:t>
      </w:r>
    </w:p>
    <w:p w:rsidR="00601725" w:rsidRDefault="00601725" w:rsidP="00BD13FE">
      <w:pPr>
        <w:autoSpaceDE w:val="0"/>
        <w:autoSpaceDN w:val="0"/>
        <w:adjustRightInd w:val="0"/>
        <w:rPr>
          <w:rFonts w:ascii="Times New Roman" w:eastAsia="Calibri" w:hAnsi="Times New Roman" w:cs="Times New Roman"/>
          <w:sz w:val="24"/>
          <w:shd w:val="clear" w:color="auto" w:fill="FFFFFF"/>
        </w:rPr>
      </w:pPr>
    </w:p>
    <w:p w:rsidR="00601725" w:rsidRPr="00C83918" w:rsidRDefault="00601725" w:rsidP="00C83918">
      <w:pPr>
        <w:pStyle w:val="ListParagraph"/>
        <w:numPr>
          <w:ilvl w:val="0"/>
          <w:numId w:val="10"/>
        </w:numPr>
        <w:autoSpaceDE w:val="0"/>
        <w:autoSpaceDN w:val="0"/>
        <w:adjustRightInd w:val="0"/>
        <w:rPr>
          <w:rFonts w:ascii="Times New Roman" w:eastAsia="Calibri" w:hAnsi="Times New Roman" w:cs="Times New Roman"/>
          <w:sz w:val="24"/>
          <w:shd w:val="clear" w:color="auto" w:fill="FFFFFF"/>
        </w:rPr>
      </w:pPr>
      <w:r w:rsidRPr="00C83918">
        <w:rPr>
          <w:rFonts w:ascii="Times New Roman" w:eastAsia="Calibri" w:hAnsi="Times New Roman" w:cs="Times New Roman"/>
          <w:sz w:val="24"/>
          <w:shd w:val="clear" w:color="auto" w:fill="FFFFFF"/>
        </w:rPr>
        <w:t>Sex</w:t>
      </w:r>
      <w:r w:rsidR="00C83918">
        <w:rPr>
          <w:rFonts w:ascii="Times New Roman" w:eastAsia="Calibri" w:hAnsi="Times New Roman" w:cs="Times New Roman"/>
          <w:sz w:val="24"/>
          <w:shd w:val="clear" w:color="auto" w:fill="FFFFFF"/>
        </w:rPr>
        <w:t>:</w:t>
      </w:r>
      <w:r w:rsidRPr="00C83918">
        <w:rPr>
          <w:rFonts w:ascii="Times New Roman" w:eastAsia="Calibri" w:hAnsi="Times New Roman" w:cs="Times New Roman"/>
          <w:sz w:val="24"/>
          <w:shd w:val="clear" w:color="auto" w:fill="FFFFFF"/>
        </w:rPr>
        <w:t xml:space="preserve">  ( male, female)</w:t>
      </w:r>
    </w:p>
    <w:p w:rsidR="00601725" w:rsidRPr="00C83918" w:rsidRDefault="00601725" w:rsidP="00C83918">
      <w:pPr>
        <w:pStyle w:val="ListParagraph"/>
        <w:numPr>
          <w:ilvl w:val="0"/>
          <w:numId w:val="10"/>
        </w:numPr>
        <w:autoSpaceDE w:val="0"/>
        <w:autoSpaceDN w:val="0"/>
        <w:adjustRightInd w:val="0"/>
        <w:rPr>
          <w:rFonts w:ascii="Times New Roman" w:eastAsia="Calibri" w:hAnsi="Times New Roman" w:cs="Times New Roman"/>
          <w:sz w:val="24"/>
          <w:shd w:val="clear" w:color="auto" w:fill="FFFFFF"/>
        </w:rPr>
      </w:pPr>
      <w:r w:rsidRPr="00C83918">
        <w:rPr>
          <w:rFonts w:ascii="Times New Roman" w:eastAsia="Calibri" w:hAnsi="Times New Roman" w:cs="Times New Roman"/>
          <w:sz w:val="24"/>
          <w:shd w:val="clear" w:color="auto" w:fill="FFFFFF"/>
        </w:rPr>
        <w:t>Age Group</w:t>
      </w:r>
      <w:r w:rsidR="00C83918">
        <w:rPr>
          <w:rFonts w:ascii="Times New Roman" w:eastAsia="Calibri" w:hAnsi="Times New Roman" w:cs="Times New Roman"/>
          <w:sz w:val="24"/>
          <w:shd w:val="clear" w:color="auto" w:fill="FFFFFF"/>
        </w:rPr>
        <w:t>:</w:t>
      </w:r>
      <w:r w:rsidRPr="00C83918">
        <w:rPr>
          <w:rFonts w:ascii="Times New Roman" w:eastAsia="Calibri" w:hAnsi="Times New Roman" w:cs="Times New Roman"/>
          <w:sz w:val="24"/>
          <w:shd w:val="clear" w:color="auto" w:fill="FFFFFF"/>
        </w:rPr>
        <w:t xml:space="preserve"> (≤ 60 years, &gt; 60 years)</w:t>
      </w:r>
    </w:p>
    <w:p w:rsidR="00601725" w:rsidRPr="00C83918" w:rsidRDefault="00601725" w:rsidP="00C83918">
      <w:pPr>
        <w:pStyle w:val="ListParagraph"/>
        <w:numPr>
          <w:ilvl w:val="0"/>
          <w:numId w:val="10"/>
        </w:numPr>
        <w:autoSpaceDE w:val="0"/>
        <w:autoSpaceDN w:val="0"/>
        <w:adjustRightInd w:val="0"/>
        <w:rPr>
          <w:rFonts w:ascii="Times New Roman" w:eastAsia="Calibri" w:hAnsi="Times New Roman" w:cs="Times New Roman"/>
          <w:sz w:val="24"/>
          <w:shd w:val="clear" w:color="auto" w:fill="FFFFFF"/>
        </w:rPr>
      </w:pPr>
      <w:r w:rsidRPr="00C83918">
        <w:rPr>
          <w:rFonts w:ascii="Times New Roman" w:eastAsia="Calibri" w:hAnsi="Times New Roman" w:cs="Times New Roman"/>
          <w:sz w:val="24"/>
          <w:shd w:val="clear" w:color="auto" w:fill="FFFFFF"/>
        </w:rPr>
        <w:t>Race</w:t>
      </w:r>
      <w:r w:rsidR="00C83918">
        <w:rPr>
          <w:rFonts w:ascii="Times New Roman" w:eastAsia="Calibri" w:hAnsi="Times New Roman" w:cs="Times New Roman"/>
          <w:sz w:val="24"/>
          <w:shd w:val="clear" w:color="auto" w:fill="FFFFFF"/>
        </w:rPr>
        <w:t>:</w:t>
      </w:r>
      <w:r w:rsidRPr="00C83918">
        <w:rPr>
          <w:rFonts w:ascii="Times New Roman" w:eastAsia="Calibri" w:hAnsi="Times New Roman" w:cs="Times New Roman"/>
          <w:sz w:val="24"/>
          <w:shd w:val="clear" w:color="auto" w:fill="FFFFFF"/>
        </w:rPr>
        <w:t xml:space="preserve"> (African-American, Not African-American)</w:t>
      </w:r>
      <w:r w:rsidR="00C83918" w:rsidRPr="00C83918">
        <w:rPr>
          <w:rFonts w:ascii="Times New Roman" w:eastAsia="Calibri" w:hAnsi="Times New Roman" w:cs="Times New Roman"/>
          <w:sz w:val="24"/>
          <w:shd w:val="clear" w:color="auto" w:fill="FFFFFF"/>
        </w:rPr>
        <w:t xml:space="preserve">  (Kidney transplant patients only)</w:t>
      </w:r>
    </w:p>
    <w:p w:rsidR="00601725" w:rsidRPr="00C83918" w:rsidRDefault="00601725" w:rsidP="00C83918">
      <w:pPr>
        <w:pStyle w:val="ListParagraph"/>
        <w:numPr>
          <w:ilvl w:val="0"/>
          <w:numId w:val="10"/>
        </w:numPr>
        <w:autoSpaceDE w:val="0"/>
        <w:autoSpaceDN w:val="0"/>
        <w:adjustRightInd w:val="0"/>
        <w:rPr>
          <w:rFonts w:ascii="Times New Roman" w:eastAsia="Calibri" w:hAnsi="Times New Roman" w:cs="Times New Roman"/>
          <w:sz w:val="24"/>
          <w:shd w:val="clear" w:color="auto" w:fill="FFFFFF"/>
        </w:rPr>
      </w:pPr>
      <w:r w:rsidRPr="00C83918">
        <w:rPr>
          <w:rFonts w:ascii="Times New Roman" w:eastAsia="Calibri" w:hAnsi="Times New Roman" w:cs="Times New Roman"/>
          <w:sz w:val="24"/>
          <w:shd w:val="clear" w:color="auto" w:fill="FFFFFF"/>
        </w:rPr>
        <w:t>Diabetes Status</w:t>
      </w:r>
      <w:r w:rsidR="00C83918">
        <w:rPr>
          <w:rFonts w:ascii="Times New Roman" w:eastAsia="Calibri" w:hAnsi="Times New Roman" w:cs="Times New Roman"/>
          <w:sz w:val="24"/>
          <w:shd w:val="clear" w:color="auto" w:fill="FFFFFF"/>
        </w:rPr>
        <w:t>:</w:t>
      </w:r>
      <w:r w:rsidRPr="00C83918">
        <w:rPr>
          <w:rFonts w:ascii="Times New Roman" w:eastAsia="Calibri" w:hAnsi="Times New Roman" w:cs="Times New Roman"/>
          <w:sz w:val="24"/>
          <w:shd w:val="clear" w:color="auto" w:fill="FFFFFF"/>
        </w:rPr>
        <w:t xml:space="preserve"> (Yes, No)</w:t>
      </w:r>
    </w:p>
    <w:p w:rsidR="00601725" w:rsidRPr="00C83918" w:rsidRDefault="00AA58F7" w:rsidP="00C83918">
      <w:pPr>
        <w:pStyle w:val="ListParagraph"/>
        <w:numPr>
          <w:ilvl w:val="0"/>
          <w:numId w:val="10"/>
        </w:num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 xml:space="preserve">Recipient </w:t>
      </w:r>
      <w:r w:rsidR="00601725" w:rsidRPr="00C83918">
        <w:rPr>
          <w:rFonts w:ascii="Times New Roman" w:eastAsia="Calibri" w:hAnsi="Times New Roman" w:cs="Times New Roman"/>
          <w:sz w:val="24"/>
          <w:shd w:val="clear" w:color="auto" w:fill="FFFFFF"/>
        </w:rPr>
        <w:t>POR 28</w:t>
      </w:r>
      <w:r w:rsidR="00C83918">
        <w:rPr>
          <w:rFonts w:ascii="Times New Roman" w:eastAsia="Calibri" w:hAnsi="Times New Roman" w:cs="Times New Roman"/>
          <w:sz w:val="24"/>
          <w:shd w:val="clear" w:color="auto" w:fill="FFFFFF"/>
        </w:rPr>
        <w:t>:</w:t>
      </w:r>
      <w:r w:rsidR="00601725" w:rsidRPr="00C83918">
        <w:rPr>
          <w:rFonts w:ascii="Times New Roman" w:eastAsia="Calibri" w:hAnsi="Times New Roman" w:cs="Times New Roman"/>
          <w:sz w:val="24"/>
          <w:shd w:val="clear" w:color="auto" w:fill="FFFFFF"/>
        </w:rPr>
        <w:t xml:space="preserve">  (</w:t>
      </w:r>
      <w:r w:rsidR="003A1401">
        <w:rPr>
          <w:rFonts w:ascii="Times New Roman" w:eastAsia="Calibri" w:hAnsi="Times New Roman" w:cs="Times New Roman"/>
          <w:sz w:val="24"/>
          <w:shd w:val="clear" w:color="auto" w:fill="FFFFFF"/>
        </w:rPr>
        <w:t>C/C</w:t>
      </w:r>
      <w:r w:rsidR="00601725" w:rsidRPr="00C83918">
        <w:rPr>
          <w:rFonts w:ascii="Times New Roman" w:eastAsia="Calibri" w:hAnsi="Times New Roman" w:cs="Times New Roman"/>
          <w:sz w:val="24"/>
          <w:shd w:val="clear" w:color="auto" w:fill="FFFFFF"/>
        </w:rPr>
        <w:t xml:space="preserve">, </w:t>
      </w:r>
      <w:r w:rsidR="003A1401">
        <w:rPr>
          <w:rFonts w:ascii="Times New Roman" w:eastAsia="Calibri" w:hAnsi="Times New Roman" w:cs="Times New Roman"/>
          <w:sz w:val="24"/>
          <w:shd w:val="clear" w:color="auto" w:fill="FFFFFF"/>
        </w:rPr>
        <w:t>C/</w:t>
      </w:r>
      <w:r w:rsidR="00601725" w:rsidRPr="00C83918">
        <w:rPr>
          <w:rFonts w:ascii="Times New Roman" w:eastAsia="Calibri" w:hAnsi="Times New Roman" w:cs="Times New Roman"/>
          <w:sz w:val="24"/>
          <w:shd w:val="clear" w:color="auto" w:fill="FFFFFF"/>
        </w:rPr>
        <w:t xml:space="preserve">T or </w:t>
      </w:r>
      <w:r w:rsidR="003A1401">
        <w:rPr>
          <w:rFonts w:ascii="Times New Roman" w:eastAsia="Calibri" w:hAnsi="Times New Roman" w:cs="Times New Roman"/>
          <w:sz w:val="24"/>
          <w:shd w:val="clear" w:color="auto" w:fill="FFFFFF"/>
        </w:rPr>
        <w:t>T/T</w:t>
      </w:r>
      <w:r w:rsidR="00601725" w:rsidRPr="00C83918">
        <w:rPr>
          <w:rFonts w:ascii="Times New Roman" w:eastAsia="Calibri" w:hAnsi="Times New Roman" w:cs="Times New Roman"/>
          <w:sz w:val="24"/>
          <w:shd w:val="clear" w:color="auto" w:fill="FFFFFF"/>
        </w:rPr>
        <w:t xml:space="preserve"> combined)</w:t>
      </w:r>
    </w:p>
    <w:p w:rsidR="00601725" w:rsidRPr="00C83918" w:rsidRDefault="00AA58F7" w:rsidP="00C83918">
      <w:pPr>
        <w:pStyle w:val="ListParagraph"/>
        <w:numPr>
          <w:ilvl w:val="0"/>
          <w:numId w:val="10"/>
        </w:num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 xml:space="preserve">Recipient </w:t>
      </w:r>
      <w:r w:rsidR="00601725" w:rsidRPr="00C83918">
        <w:rPr>
          <w:rFonts w:ascii="Times New Roman" w:eastAsia="Calibri" w:hAnsi="Times New Roman" w:cs="Times New Roman"/>
          <w:sz w:val="24"/>
          <w:shd w:val="clear" w:color="auto" w:fill="FFFFFF"/>
        </w:rPr>
        <w:t>CYP3A5</w:t>
      </w:r>
      <w:r w:rsidR="00C83918">
        <w:rPr>
          <w:rFonts w:ascii="Times New Roman" w:eastAsia="Calibri" w:hAnsi="Times New Roman" w:cs="Times New Roman"/>
          <w:sz w:val="24"/>
          <w:shd w:val="clear" w:color="auto" w:fill="FFFFFF"/>
        </w:rPr>
        <w:t>:</w:t>
      </w:r>
      <w:r w:rsidR="00601725" w:rsidRPr="00C83918">
        <w:rPr>
          <w:rFonts w:ascii="Times New Roman" w:eastAsia="Calibri" w:hAnsi="Times New Roman" w:cs="Times New Roman"/>
          <w:sz w:val="24"/>
          <w:shd w:val="clear" w:color="auto" w:fill="FFFFFF"/>
        </w:rPr>
        <w:t xml:space="preserve">  (*3/*3, *1/*1 or *1/*3 combined)</w:t>
      </w:r>
    </w:p>
    <w:p w:rsidR="00601725" w:rsidRPr="00C83918" w:rsidRDefault="00AA58F7" w:rsidP="00C83918">
      <w:pPr>
        <w:pStyle w:val="ListParagraph"/>
        <w:numPr>
          <w:ilvl w:val="0"/>
          <w:numId w:val="10"/>
        </w:num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Recip</w:t>
      </w:r>
      <w:r w:rsidR="004202B7">
        <w:rPr>
          <w:rFonts w:ascii="Times New Roman" w:eastAsia="Calibri" w:hAnsi="Times New Roman" w:cs="Times New Roman"/>
          <w:sz w:val="24"/>
          <w:shd w:val="clear" w:color="auto" w:fill="FFFFFF"/>
        </w:rPr>
        <w:t>ie</w:t>
      </w:r>
      <w:r>
        <w:rPr>
          <w:rFonts w:ascii="Times New Roman" w:eastAsia="Calibri" w:hAnsi="Times New Roman" w:cs="Times New Roman"/>
          <w:sz w:val="24"/>
          <w:shd w:val="clear" w:color="auto" w:fill="FFFFFF"/>
        </w:rPr>
        <w:t>nt</w:t>
      </w:r>
      <w:r w:rsidR="004202B7">
        <w:rPr>
          <w:rFonts w:ascii="Times New Roman" w:eastAsia="Calibri" w:hAnsi="Times New Roman" w:cs="Times New Roman"/>
          <w:sz w:val="24"/>
          <w:shd w:val="clear" w:color="auto" w:fill="FFFFFF"/>
        </w:rPr>
        <w:t xml:space="preserve"> </w:t>
      </w:r>
      <w:r w:rsidR="00601725" w:rsidRPr="00C83918">
        <w:rPr>
          <w:rFonts w:ascii="Times New Roman" w:eastAsia="Calibri" w:hAnsi="Times New Roman" w:cs="Times New Roman"/>
          <w:sz w:val="24"/>
          <w:shd w:val="clear" w:color="auto" w:fill="FFFFFF"/>
        </w:rPr>
        <w:t>CYP3A4*1B (</w:t>
      </w:r>
      <w:r w:rsidR="003A1401">
        <w:rPr>
          <w:rFonts w:ascii="Times New Roman" w:eastAsia="Calibri" w:hAnsi="Times New Roman" w:cs="Times New Roman"/>
          <w:sz w:val="24"/>
          <w:shd w:val="clear" w:color="auto" w:fill="FFFFFF"/>
        </w:rPr>
        <w:t>T/T</w:t>
      </w:r>
      <w:r w:rsidR="00601725" w:rsidRPr="00C83918">
        <w:rPr>
          <w:rFonts w:ascii="Times New Roman" w:eastAsia="Calibri" w:hAnsi="Times New Roman" w:cs="Times New Roman"/>
          <w:sz w:val="24"/>
          <w:shd w:val="clear" w:color="auto" w:fill="FFFFFF"/>
        </w:rPr>
        <w:t xml:space="preserve">, </w:t>
      </w:r>
      <w:r w:rsidR="003A1401">
        <w:rPr>
          <w:rFonts w:ascii="Times New Roman" w:eastAsia="Calibri" w:hAnsi="Times New Roman" w:cs="Times New Roman"/>
          <w:sz w:val="24"/>
          <w:shd w:val="clear" w:color="auto" w:fill="FFFFFF"/>
        </w:rPr>
        <w:t>C/T</w:t>
      </w:r>
      <w:r w:rsidR="00601725" w:rsidRPr="00C83918">
        <w:rPr>
          <w:rFonts w:ascii="Times New Roman" w:eastAsia="Calibri" w:hAnsi="Times New Roman" w:cs="Times New Roman"/>
          <w:sz w:val="24"/>
          <w:shd w:val="clear" w:color="auto" w:fill="FFFFFF"/>
        </w:rPr>
        <w:t xml:space="preserve"> or </w:t>
      </w:r>
      <w:r w:rsidR="003A1401">
        <w:rPr>
          <w:rFonts w:ascii="Times New Roman" w:eastAsia="Calibri" w:hAnsi="Times New Roman" w:cs="Times New Roman"/>
          <w:sz w:val="24"/>
          <w:shd w:val="clear" w:color="auto" w:fill="FFFFFF"/>
        </w:rPr>
        <w:t>C/C</w:t>
      </w:r>
      <w:r w:rsidR="00601725" w:rsidRPr="00C83918">
        <w:rPr>
          <w:rFonts w:ascii="Times New Roman" w:eastAsia="Calibri" w:hAnsi="Times New Roman" w:cs="Times New Roman"/>
          <w:sz w:val="24"/>
          <w:shd w:val="clear" w:color="auto" w:fill="FFFFFF"/>
        </w:rPr>
        <w:t xml:space="preserve"> combined)</w:t>
      </w:r>
      <w:r w:rsidR="00C83918" w:rsidRPr="00C83918">
        <w:rPr>
          <w:rFonts w:ascii="Times New Roman" w:eastAsia="Calibri" w:hAnsi="Times New Roman" w:cs="Times New Roman"/>
          <w:sz w:val="24"/>
          <w:shd w:val="clear" w:color="auto" w:fill="FFFFFF"/>
        </w:rPr>
        <w:t xml:space="preserve"> (Kidney transplant patients only)</w:t>
      </w:r>
    </w:p>
    <w:p w:rsidR="00601725" w:rsidRPr="004202B7" w:rsidRDefault="004202B7" w:rsidP="00C83918">
      <w:pPr>
        <w:pStyle w:val="ListParagraph"/>
        <w:numPr>
          <w:ilvl w:val="0"/>
          <w:numId w:val="10"/>
        </w:num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 xml:space="preserve">Recipient </w:t>
      </w:r>
      <w:r w:rsidR="00601725" w:rsidRPr="004202B7">
        <w:rPr>
          <w:rFonts w:ascii="Times New Roman" w:eastAsia="Calibri" w:hAnsi="Times New Roman" w:cs="Times New Roman"/>
          <w:sz w:val="24"/>
          <w:shd w:val="clear" w:color="auto" w:fill="FFFFFF"/>
        </w:rPr>
        <w:t>ABC</w:t>
      </w:r>
      <w:r w:rsidRPr="004202B7">
        <w:rPr>
          <w:rFonts w:ascii="Times New Roman" w:eastAsia="Calibri" w:hAnsi="Times New Roman" w:cs="Times New Roman"/>
          <w:sz w:val="24"/>
          <w:shd w:val="clear" w:color="auto" w:fill="FFFFFF"/>
        </w:rPr>
        <w:t>B1</w:t>
      </w:r>
      <w:r w:rsidR="003A1401">
        <w:rPr>
          <w:rFonts w:ascii="Times New Roman" w:eastAsia="Calibri" w:hAnsi="Times New Roman" w:cs="Times New Roman"/>
          <w:sz w:val="24"/>
          <w:shd w:val="clear" w:color="auto" w:fill="FFFFFF"/>
        </w:rPr>
        <w:t xml:space="preserve"> 3435C&gt;T</w:t>
      </w:r>
      <w:r w:rsidR="00A50DEF">
        <w:rPr>
          <w:rFonts w:ascii="Times New Roman" w:eastAsia="Calibri" w:hAnsi="Times New Roman" w:cs="Times New Roman"/>
          <w:sz w:val="24"/>
          <w:shd w:val="clear" w:color="auto" w:fill="FFFFFF"/>
        </w:rPr>
        <w:t>:  (</w:t>
      </w:r>
      <w:r w:rsidR="003A1401">
        <w:rPr>
          <w:rFonts w:ascii="Times New Roman" w:eastAsia="Calibri" w:hAnsi="Times New Roman" w:cs="Times New Roman"/>
          <w:sz w:val="24"/>
          <w:shd w:val="clear" w:color="auto" w:fill="FFFFFF"/>
        </w:rPr>
        <w:t>C/C</w:t>
      </w:r>
      <w:r w:rsidR="00A50DEF">
        <w:rPr>
          <w:rFonts w:ascii="Times New Roman" w:eastAsia="Calibri" w:hAnsi="Times New Roman" w:cs="Times New Roman"/>
          <w:sz w:val="24"/>
          <w:shd w:val="clear" w:color="auto" w:fill="FFFFFF"/>
        </w:rPr>
        <w:t xml:space="preserve">, </w:t>
      </w:r>
      <w:r w:rsidR="003A1401">
        <w:rPr>
          <w:rFonts w:ascii="Times New Roman" w:eastAsia="Calibri" w:hAnsi="Times New Roman" w:cs="Times New Roman"/>
          <w:sz w:val="24"/>
          <w:shd w:val="clear" w:color="auto" w:fill="FFFFFF"/>
        </w:rPr>
        <w:t>C/</w:t>
      </w:r>
      <w:r w:rsidR="00A50DEF">
        <w:rPr>
          <w:rFonts w:ascii="Times New Roman" w:eastAsia="Calibri" w:hAnsi="Times New Roman" w:cs="Times New Roman"/>
          <w:sz w:val="24"/>
          <w:shd w:val="clear" w:color="auto" w:fill="FFFFFF"/>
        </w:rPr>
        <w:t xml:space="preserve">T or </w:t>
      </w:r>
      <w:r w:rsidR="003A1401">
        <w:rPr>
          <w:rFonts w:ascii="Times New Roman" w:eastAsia="Calibri" w:hAnsi="Times New Roman" w:cs="Times New Roman"/>
          <w:sz w:val="24"/>
          <w:shd w:val="clear" w:color="auto" w:fill="FFFFFF"/>
        </w:rPr>
        <w:t>T/T</w:t>
      </w:r>
      <w:r w:rsidR="00A50DEF">
        <w:rPr>
          <w:rFonts w:ascii="Times New Roman" w:eastAsia="Calibri" w:hAnsi="Times New Roman" w:cs="Times New Roman"/>
          <w:sz w:val="24"/>
          <w:shd w:val="clear" w:color="auto" w:fill="FFFFFF"/>
        </w:rPr>
        <w:t xml:space="preserve"> combined)</w:t>
      </w:r>
      <w:r w:rsidR="009064D7">
        <w:rPr>
          <w:rFonts w:ascii="Times New Roman" w:eastAsia="Calibri" w:hAnsi="Times New Roman" w:cs="Times New Roman"/>
          <w:sz w:val="24"/>
          <w:shd w:val="clear" w:color="auto" w:fill="FFFFFF"/>
        </w:rPr>
        <w:t xml:space="preserve"> (Kidney transplant patients only)</w:t>
      </w:r>
    </w:p>
    <w:p w:rsidR="00601725" w:rsidRPr="00C83918" w:rsidRDefault="00601725" w:rsidP="00C83918">
      <w:pPr>
        <w:pStyle w:val="ListParagraph"/>
        <w:numPr>
          <w:ilvl w:val="0"/>
          <w:numId w:val="10"/>
        </w:numPr>
        <w:autoSpaceDE w:val="0"/>
        <w:autoSpaceDN w:val="0"/>
        <w:adjustRightInd w:val="0"/>
        <w:rPr>
          <w:rFonts w:ascii="Times New Roman" w:eastAsia="Calibri" w:hAnsi="Times New Roman" w:cs="Times New Roman"/>
          <w:sz w:val="24"/>
          <w:shd w:val="clear" w:color="auto" w:fill="FFFFFF"/>
        </w:rPr>
      </w:pPr>
      <w:r w:rsidRPr="00D7302E">
        <w:rPr>
          <w:rFonts w:ascii="Times New Roman" w:eastAsia="Calibri" w:hAnsi="Times New Roman" w:cs="Times New Roman"/>
          <w:sz w:val="24"/>
          <w:shd w:val="clear" w:color="auto" w:fill="FFFFFF"/>
        </w:rPr>
        <w:t xml:space="preserve">Donor </w:t>
      </w:r>
      <w:r w:rsidR="00AA58F7" w:rsidRPr="00D7302E">
        <w:rPr>
          <w:rFonts w:ascii="Times New Roman" w:eastAsia="Calibri" w:hAnsi="Times New Roman" w:cs="Times New Roman"/>
          <w:sz w:val="24"/>
          <w:shd w:val="clear" w:color="auto" w:fill="FFFFFF"/>
        </w:rPr>
        <w:t>CYP3A5</w:t>
      </w:r>
      <w:r w:rsidR="00AA58F7">
        <w:rPr>
          <w:rFonts w:ascii="Times New Roman" w:eastAsia="Calibri" w:hAnsi="Times New Roman" w:cs="Times New Roman"/>
          <w:sz w:val="24"/>
          <w:shd w:val="clear" w:color="auto" w:fill="FFFFFF"/>
        </w:rPr>
        <w:t xml:space="preserve"> (*3/*3, *1/*1 or *1/*3 combined)</w:t>
      </w:r>
      <w:r w:rsidR="009064D7">
        <w:rPr>
          <w:rFonts w:ascii="Times New Roman" w:eastAsia="Calibri" w:hAnsi="Times New Roman" w:cs="Times New Roman"/>
          <w:sz w:val="24"/>
          <w:shd w:val="clear" w:color="auto" w:fill="FFFFFF"/>
        </w:rPr>
        <w:t xml:space="preserve"> (Liver transplant patients only)</w:t>
      </w:r>
    </w:p>
    <w:p w:rsidR="00BD13FE" w:rsidRDefault="00BD13FE" w:rsidP="00BD13FE">
      <w:pPr>
        <w:autoSpaceDE w:val="0"/>
        <w:autoSpaceDN w:val="0"/>
        <w:adjustRightInd w:val="0"/>
        <w:rPr>
          <w:rFonts w:ascii="Times New Roman" w:eastAsia="Calibri" w:hAnsi="Times New Roman" w:cs="Times New Roman"/>
          <w:sz w:val="24"/>
          <w:shd w:val="clear" w:color="auto" w:fill="FFFFFF"/>
        </w:rPr>
      </w:pPr>
    </w:p>
    <w:p w:rsidR="00601725" w:rsidRDefault="00601725" w:rsidP="00BD13FE">
      <w:pPr>
        <w:autoSpaceDE w:val="0"/>
        <w:autoSpaceDN w:val="0"/>
        <w:adjustRightInd w:val="0"/>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Within each of the levels of the subgroup, point estimates and two-sided 90% confidence limits for the ratio of the geometric means for AUC</w:t>
      </w:r>
      <w:r>
        <w:rPr>
          <w:rFonts w:ascii="Times New Roman" w:eastAsia="Calibri" w:hAnsi="Times New Roman" w:cs="Times New Roman"/>
          <w:sz w:val="24"/>
          <w:shd w:val="clear" w:color="auto" w:fill="FFFFFF"/>
          <w:vertAlign w:val="subscript"/>
        </w:rPr>
        <w:t>0-t</w:t>
      </w:r>
      <w:r w:rsidR="00D326F0">
        <w:rPr>
          <w:rFonts w:ascii="Times New Roman" w:eastAsia="Calibri" w:hAnsi="Times New Roman" w:cs="Times New Roman"/>
          <w:sz w:val="24"/>
          <w:shd w:val="clear" w:color="auto" w:fill="FFFFFF"/>
        </w:rPr>
        <w:t xml:space="preserve"> were calculated using the mixed effects analysis of variance model for the 6 period, 3 treatment crossover design as described above for the entire population.  These analyses were performed for kidney and liver transplant patients separately.  Graphical displays of the ratios and the confidence intervals are presented along with the symbol “x” to indicate the SCABE limits.   The graphs also display the sample size within each subgroup and the upper confidence limit for the ratio of the within subject standard deviations for the two treatments being assessed for bioequivalence.</w:t>
      </w:r>
      <w:r w:rsidR="00C83918">
        <w:rPr>
          <w:rFonts w:ascii="Times New Roman" w:eastAsia="Calibri" w:hAnsi="Times New Roman" w:cs="Times New Roman"/>
          <w:sz w:val="24"/>
          <w:shd w:val="clear" w:color="auto" w:fill="FFFFFF"/>
        </w:rPr>
        <w:t xml:space="preserve"> </w:t>
      </w:r>
    </w:p>
    <w:p w:rsidR="00C83918" w:rsidRDefault="00C83918" w:rsidP="00BD13FE">
      <w:pPr>
        <w:autoSpaceDE w:val="0"/>
        <w:autoSpaceDN w:val="0"/>
        <w:adjustRightInd w:val="0"/>
        <w:rPr>
          <w:rFonts w:ascii="Times New Roman" w:eastAsia="Calibri" w:hAnsi="Times New Roman" w:cs="Times New Roman"/>
          <w:sz w:val="24"/>
          <w:shd w:val="clear" w:color="auto" w:fill="FFFFFF"/>
        </w:rPr>
      </w:pPr>
    </w:p>
    <w:p w:rsidR="005A1BD6" w:rsidRPr="006E18DB" w:rsidRDefault="006E18DB" w:rsidP="00BD13FE">
      <w:pPr>
        <w:rPr>
          <w:rFonts w:ascii="Times New Roman" w:hAnsi="Times New Roman" w:cs="Times New Roman"/>
          <w:b/>
          <w:sz w:val="24"/>
        </w:rPr>
      </w:pPr>
      <w:r>
        <w:rPr>
          <w:rFonts w:ascii="Times New Roman" w:hAnsi="Times New Roman" w:cs="Times New Roman"/>
          <w:b/>
          <w:sz w:val="24"/>
        </w:rPr>
        <w:t>Safety Assessment</w:t>
      </w:r>
    </w:p>
    <w:p w:rsidR="00BD13FE" w:rsidRDefault="00BD13FE" w:rsidP="006E18DB">
      <w:pPr>
        <w:rPr>
          <w:rFonts w:ascii="Times New Roman" w:hAnsi="Times New Roman" w:cs="Times New Roman"/>
          <w:sz w:val="24"/>
        </w:rPr>
      </w:pPr>
    </w:p>
    <w:p w:rsidR="002E3D8E" w:rsidRPr="002E3D8E" w:rsidRDefault="002E3D8E" w:rsidP="006E18DB">
      <w:pPr>
        <w:rPr>
          <w:rFonts w:ascii="Times New Roman" w:hAnsi="Times New Roman" w:cs="Times New Roman"/>
          <w:i/>
          <w:sz w:val="24"/>
          <w:u w:val="single"/>
        </w:rPr>
      </w:pPr>
      <w:r w:rsidRPr="002E3D8E">
        <w:rPr>
          <w:rFonts w:ascii="Times New Roman" w:hAnsi="Times New Roman" w:cs="Times New Roman"/>
          <w:i/>
          <w:sz w:val="24"/>
          <w:u w:val="single"/>
        </w:rPr>
        <w:t>Adverse Events</w:t>
      </w:r>
    </w:p>
    <w:p w:rsidR="006E18DB" w:rsidRDefault="006E18DB" w:rsidP="006E18DB">
      <w:pPr>
        <w:rPr>
          <w:rFonts w:ascii="Times New Roman" w:hAnsi="Times New Roman" w:cs="Times New Roman"/>
          <w:sz w:val="24"/>
        </w:rPr>
      </w:pPr>
      <w:r>
        <w:rPr>
          <w:rFonts w:ascii="Times New Roman" w:hAnsi="Times New Roman" w:cs="Times New Roman"/>
          <w:sz w:val="24"/>
        </w:rPr>
        <w:t xml:space="preserve">Adverse events were summarized for each of the treatment groups.  Adverse events were assigned to each treatment group based on the start date of the event.   Summaries included the number of patients that had at least one occurrence of the adverse event that had a first reporting while on the treatment.  In addition, the total number of adverse events that had a first reporting of the event while on treatment is displayed.  </w:t>
      </w:r>
      <w:r w:rsidR="002E3D8E">
        <w:rPr>
          <w:rFonts w:ascii="Times New Roman" w:hAnsi="Times New Roman" w:cs="Times New Roman"/>
          <w:sz w:val="24"/>
        </w:rPr>
        <w:t>The analysis was for descriptive purposed only and n</w:t>
      </w:r>
      <w:r>
        <w:rPr>
          <w:rFonts w:ascii="Times New Roman" w:hAnsi="Times New Roman" w:cs="Times New Roman"/>
          <w:sz w:val="24"/>
        </w:rPr>
        <w:t xml:space="preserve">o inferential testing </w:t>
      </w:r>
      <w:r w:rsidR="00EE1A39">
        <w:rPr>
          <w:rFonts w:ascii="Times New Roman" w:hAnsi="Times New Roman" w:cs="Times New Roman"/>
          <w:sz w:val="24"/>
        </w:rPr>
        <w:t xml:space="preserve">was performed </w:t>
      </w:r>
      <w:r>
        <w:rPr>
          <w:rFonts w:ascii="Times New Roman" w:hAnsi="Times New Roman" w:cs="Times New Roman"/>
          <w:sz w:val="24"/>
        </w:rPr>
        <w:t>for adverse events.</w:t>
      </w:r>
    </w:p>
    <w:p w:rsidR="006E18DB" w:rsidRDefault="006E18DB" w:rsidP="006E18DB">
      <w:pPr>
        <w:rPr>
          <w:rFonts w:ascii="Times New Roman" w:hAnsi="Times New Roman" w:cs="Times New Roman"/>
          <w:sz w:val="24"/>
        </w:rPr>
      </w:pPr>
    </w:p>
    <w:p w:rsidR="006E18DB" w:rsidRPr="002E3D8E" w:rsidRDefault="002E3D8E" w:rsidP="006E18DB">
      <w:pPr>
        <w:rPr>
          <w:rFonts w:ascii="Times New Roman" w:hAnsi="Times New Roman" w:cs="Times New Roman"/>
          <w:i/>
          <w:sz w:val="24"/>
          <w:u w:val="single"/>
        </w:rPr>
      </w:pPr>
      <w:r w:rsidRPr="002E3D8E">
        <w:rPr>
          <w:rFonts w:ascii="Times New Roman" w:hAnsi="Times New Roman" w:cs="Times New Roman"/>
          <w:i/>
          <w:sz w:val="24"/>
          <w:u w:val="single"/>
        </w:rPr>
        <w:t>Kidney and Liver Function Assessment</w:t>
      </w:r>
    </w:p>
    <w:p w:rsidR="00BD13FE" w:rsidRDefault="00BD13FE" w:rsidP="002E3D8E">
      <w:pPr>
        <w:rPr>
          <w:rFonts w:ascii="Times New Roman" w:hAnsi="Times New Roman" w:cs="Times New Roman"/>
          <w:sz w:val="24"/>
        </w:rPr>
      </w:pPr>
    </w:p>
    <w:p w:rsidR="00EE1A39" w:rsidRDefault="002E3D8E" w:rsidP="00EE1A39">
      <w:pPr>
        <w:rPr>
          <w:rFonts w:ascii="Times New Roman" w:hAnsi="Times New Roman" w:cs="Times New Roman"/>
          <w:sz w:val="24"/>
        </w:rPr>
      </w:pPr>
      <w:r>
        <w:rPr>
          <w:rFonts w:ascii="Times New Roman" w:hAnsi="Times New Roman" w:cs="Times New Roman"/>
          <w:sz w:val="24"/>
        </w:rPr>
        <w:t xml:space="preserve">To assess kidney function, </w:t>
      </w:r>
      <w:r w:rsidR="00EE1A39">
        <w:rPr>
          <w:rFonts w:ascii="Times New Roman" w:hAnsi="Times New Roman" w:cs="Times New Roman"/>
          <w:sz w:val="24"/>
        </w:rPr>
        <w:t xml:space="preserve">serum creatinine (mg/dL) was evaluated in kidney and liver transplant patients.  Alkaline phosphatase (Units/Liter), SGPT (Units/Liter), and SGOT (Units/Liter) were evaluated to assess liver function in liver transplant patients.  </w:t>
      </w:r>
    </w:p>
    <w:p w:rsidR="00EE1A39" w:rsidRDefault="00EE1A39" w:rsidP="00EE1A39">
      <w:pPr>
        <w:rPr>
          <w:rFonts w:ascii="Times New Roman" w:hAnsi="Times New Roman" w:cs="Times New Roman"/>
          <w:sz w:val="24"/>
        </w:rPr>
      </w:pPr>
    </w:p>
    <w:p w:rsidR="00EE1A39" w:rsidRDefault="00EE1A39" w:rsidP="00EE1A39">
      <w:pPr>
        <w:rPr>
          <w:rFonts w:ascii="Times New Roman" w:hAnsi="Times New Roman" w:cs="Times New Roman"/>
          <w:sz w:val="24"/>
        </w:rPr>
      </w:pPr>
      <w:r>
        <w:rPr>
          <w:rFonts w:ascii="Times New Roman" w:hAnsi="Times New Roman" w:cs="Times New Roman"/>
          <w:sz w:val="24"/>
        </w:rPr>
        <w:t>T</w:t>
      </w:r>
      <w:r w:rsidR="002E3D8E">
        <w:rPr>
          <w:rFonts w:ascii="Times New Roman" w:hAnsi="Times New Roman" w:cs="Times New Roman"/>
          <w:sz w:val="24"/>
        </w:rPr>
        <w:t>he mean (±</w:t>
      </w:r>
      <w:r w:rsidR="003A1401">
        <w:rPr>
          <w:rFonts w:ascii="Times New Roman" w:hAnsi="Times New Roman" w:cs="Times New Roman"/>
          <w:sz w:val="24"/>
        </w:rPr>
        <w:t xml:space="preserve"> </w:t>
      </w:r>
      <w:r>
        <w:rPr>
          <w:rFonts w:ascii="Times New Roman" w:hAnsi="Times New Roman" w:cs="Times New Roman"/>
          <w:sz w:val="24"/>
        </w:rPr>
        <w:t xml:space="preserve">standard error) of the </w:t>
      </w:r>
      <w:r w:rsidR="002E3D8E">
        <w:rPr>
          <w:rFonts w:ascii="Times New Roman" w:hAnsi="Times New Roman" w:cs="Times New Roman"/>
          <w:sz w:val="24"/>
        </w:rPr>
        <w:t xml:space="preserve">laboratory parameters were displayed using two different graphical approaches:     1)  summary statistics were calculated and displayed chronologically for </w:t>
      </w:r>
      <w:r w:rsidR="002E3D8E">
        <w:rPr>
          <w:rFonts w:ascii="Times New Roman" w:hAnsi="Times New Roman" w:cs="Times New Roman"/>
          <w:sz w:val="24"/>
        </w:rPr>
        <w:lastRenderedPageBreak/>
        <w:t xml:space="preserve">eight time periods including baseline, randomization, and the 6 periods (including all treatments in the calculation);  and 2) summary statistics were calculated and displayed for eight groupings including baseline, randomization, the two replications of each treatment separately.      </w:t>
      </w:r>
      <w:r w:rsidR="003A1401">
        <w:rPr>
          <w:rFonts w:ascii="Times New Roman" w:hAnsi="Times New Roman" w:cs="Times New Roman"/>
          <w:sz w:val="24"/>
        </w:rPr>
        <w:t>One display</w:t>
      </w:r>
      <w:r>
        <w:rPr>
          <w:rFonts w:ascii="Times New Roman" w:hAnsi="Times New Roman" w:cs="Times New Roman"/>
          <w:sz w:val="24"/>
        </w:rPr>
        <w:t xml:space="preserve"> assesses changes over the course of the study in the laboratory parameter across all treatments combined.  </w:t>
      </w:r>
      <w:r w:rsidR="003A1401">
        <w:rPr>
          <w:rFonts w:ascii="Times New Roman" w:hAnsi="Times New Roman" w:cs="Times New Roman"/>
          <w:sz w:val="24"/>
        </w:rPr>
        <w:t>A second display</w:t>
      </w:r>
      <w:r>
        <w:rPr>
          <w:rFonts w:ascii="Times New Roman" w:hAnsi="Times New Roman" w:cs="Times New Roman"/>
          <w:sz w:val="24"/>
        </w:rPr>
        <w:t xml:space="preserve"> assesses the changes between the replications of the same treatment and also assesses the changes among the treatments.   </w:t>
      </w:r>
      <w:r w:rsidRPr="00EE1A39">
        <w:rPr>
          <w:rFonts w:ascii="Times New Roman" w:hAnsi="Times New Roman" w:cs="Times New Roman"/>
          <w:sz w:val="24"/>
        </w:rPr>
        <w:t>The analysis was for descriptive purposes only and no inferential testing was performed.</w:t>
      </w:r>
    </w:p>
    <w:p w:rsidR="00785951" w:rsidRPr="00F740A9" w:rsidRDefault="00785951" w:rsidP="000C38BB">
      <w:pPr>
        <w:rPr>
          <w:rFonts w:ascii="Times New Roman" w:hAnsi="Times New Roman" w:cs="Times New Roman"/>
          <w:sz w:val="24"/>
        </w:rPr>
      </w:pPr>
    </w:p>
    <w:p w:rsidR="005A1BD6" w:rsidRDefault="005A1BD6" w:rsidP="005A1BD6">
      <w:pPr>
        <w:rPr>
          <w:rFonts w:ascii="Times New Roman" w:hAnsi="Times New Roman" w:cs="Times New Roman"/>
          <w:b/>
          <w:sz w:val="24"/>
        </w:rPr>
      </w:pPr>
      <w:r w:rsidRPr="00F740A9">
        <w:rPr>
          <w:rFonts w:ascii="Times New Roman" w:hAnsi="Times New Roman" w:cs="Times New Roman"/>
          <w:b/>
          <w:sz w:val="24"/>
        </w:rPr>
        <w:t xml:space="preserve">Software Used </w:t>
      </w:r>
    </w:p>
    <w:p w:rsidR="00EE1A39" w:rsidRDefault="00EE1A39" w:rsidP="005A1BD6">
      <w:pPr>
        <w:rPr>
          <w:rFonts w:ascii="Times New Roman" w:hAnsi="Times New Roman" w:cs="Times New Roman"/>
          <w:b/>
          <w:sz w:val="24"/>
        </w:rPr>
      </w:pPr>
    </w:p>
    <w:p w:rsidR="005A1BD6" w:rsidRPr="00F740A9" w:rsidRDefault="002B2697" w:rsidP="002B2697">
      <w:pPr>
        <w:rPr>
          <w:rFonts w:ascii="Times New Roman" w:hAnsi="Times New Roman" w:cs="Times New Roman"/>
          <w:sz w:val="24"/>
        </w:rPr>
      </w:pPr>
      <w:r w:rsidRPr="00F740A9">
        <w:rPr>
          <w:rFonts w:ascii="Times New Roman" w:hAnsi="Times New Roman" w:cs="Times New Roman"/>
          <w:sz w:val="24"/>
        </w:rPr>
        <w:t xml:space="preserve">SAS version 9.3 </w:t>
      </w:r>
      <w:r w:rsidR="00F740A9" w:rsidRPr="00F740A9">
        <w:rPr>
          <w:rFonts w:ascii="Times New Roman" w:hAnsi="Times New Roman" w:cs="Times New Roman"/>
          <w:sz w:val="24"/>
        </w:rPr>
        <w:t>was</w:t>
      </w:r>
      <w:r w:rsidRPr="00F740A9">
        <w:rPr>
          <w:rFonts w:ascii="Times New Roman" w:hAnsi="Times New Roman" w:cs="Times New Roman"/>
          <w:sz w:val="24"/>
        </w:rPr>
        <w:t xml:space="preserve"> used to perform calculation</w:t>
      </w:r>
      <w:r w:rsidR="00F740A9">
        <w:rPr>
          <w:rFonts w:ascii="Times New Roman" w:hAnsi="Times New Roman" w:cs="Times New Roman"/>
          <w:sz w:val="24"/>
        </w:rPr>
        <w:t>s</w:t>
      </w:r>
      <w:r w:rsidR="00D24B6A">
        <w:rPr>
          <w:rFonts w:ascii="Times New Roman" w:hAnsi="Times New Roman" w:cs="Times New Roman"/>
          <w:sz w:val="24"/>
        </w:rPr>
        <w:t xml:space="preserve"> and SAS Proc Mixed was used to perform the mixed effects analyses.</w:t>
      </w:r>
    </w:p>
    <w:sectPr w:rsidR="005A1BD6" w:rsidRPr="00F740A9" w:rsidSect="0075221B">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5B2" w:rsidRDefault="005465B2" w:rsidP="005465B2">
      <w:r>
        <w:separator/>
      </w:r>
    </w:p>
  </w:endnote>
  <w:endnote w:type="continuationSeparator" w:id="0">
    <w:p w:rsidR="005465B2" w:rsidRDefault="005465B2" w:rsidP="0054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71767"/>
      <w:docPartObj>
        <w:docPartGallery w:val="Page Numbers (Bottom of Page)"/>
        <w:docPartUnique/>
      </w:docPartObj>
    </w:sdtPr>
    <w:sdtEndPr>
      <w:rPr>
        <w:noProof/>
      </w:rPr>
    </w:sdtEndPr>
    <w:sdtContent>
      <w:p w:rsidR="007C4C4B" w:rsidRDefault="007C4C4B">
        <w:pPr>
          <w:pStyle w:val="Footer"/>
          <w:jc w:val="center"/>
        </w:pPr>
        <w:r>
          <w:fldChar w:fldCharType="begin"/>
        </w:r>
        <w:r>
          <w:instrText xml:space="preserve"> PAGE   \* MERGEFORMAT </w:instrText>
        </w:r>
        <w:r>
          <w:fldChar w:fldCharType="separate"/>
        </w:r>
        <w:r w:rsidR="001D78FF">
          <w:rPr>
            <w:noProof/>
          </w:rPr>
          <w:t>4</w:t>
        </w:r>
        <w:r>
          <w:rPr>
            <w:noProof/>
          </w:rPr>
          <w:fldChar w:fldCharType="end"/>
        </w:r>
      </w:p>
    </w:sdtContent>
  </w:sdt>
  <w:p w:rsidR="005465B2" w:rsidRDefault="00546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5B2" w:rsidRDefault="005465B2" w:rsidP="005465B2">
      <w:r>
        <w:separator/>
      </w:r>
    </w:p>
  </w:footnote>
  <w:footnote w:type="continuationSeparator" w:id="0">
    <w:p w:rsidR="005465B2" w:rsidRDefault="005465B2" w:rsidP="00546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B2" w:rsidRDefault="00546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38D1"/>
    <w:multiLevelType w:val="multilevel"/>
    <w:tmpl w:val="E6528B2A"/>
    <w:lvl w:ilvl="0">
      <w:start w:val="6"/>
      <w:numFmt w:val="decimal"/>
      <w:lvlText w:val="%1"/>
      <w:lvlJc w:val="left"/>
      <w:pPr>
        <w:ind w:left="930" w:hanging="930"/>
      </w:pPr>
      <w:rPr>
        <w:rFonts w:hint="default"/>
      </w:rPr>
    </w:lvl>
    <w:lvl w:ilvl="1">
      <w:start w:val="1"/>
      <w:numFmt w:val="decimal"/>
      <w:lvlText w:val="%1.%2"/>
      <w:lvlJc w:val="left"/>
      <w:pPr>
        <w:ind w:left="1866" w:hanging="930"/>
      </w:pPr>
      <w:rPr>
        <w:rFonts w:hint="default"/>
      </w:rPr>
    </w:lvl>
    <w:lvl w:ilvl="2">
      <w:start w:val="3"/>
      <w:numFmt w:val="decimal"/>
      <w:lvlText w:val="%1.%2.%3"/>
      <w:lvlJc w:val="left"/>
      <w:pPr>
        <w:ind w:left="2802" w:hanging="930"/>
      </w:pPr>
      <w:rPr>
        <w:rFonts w:hint="default"/>
      </w:rPr>
    </w:lvl>
    <w:lvl w:ilvl="3">
      <w:start w:val="4"/>
      <w:numFmt w:val="decimal"/>
      <w:lvlText w:val="%1.%2.%3.%4"/>
      <w:lvlJc w:val="left"/>
      <w:pPr>
        <w:ind w:left="3738" w:hanging="930"/>
      </w:pPr>
      <w:rPr>
        <w:rFonts w:hint="default"/>
      </w:rPr>
    </w:lvl>
    <w:lvl w:ilvl="4">
      <w:start w:val="1"/>
      <w:numFmt w:val="decimal"/>
      <w:lvlText w:val="%1.%2.%3.%4.%5"/>
      <w:lvlJc w:val="left"/>
      <w:pPr>
        <w:ind w:left="4824" w:hanging="1080"/>
      </w:pPr>
      <w:rPr>
        <w:rFonts w:hint="default"/>
      </w:rPr>
    </w:lvl>
    <w:lvl w:ilvl="5">
      <w:start w:val="1"/>
      <w:numFmt w:val="bullet"/>
      <w:lvlText w:val=""/>
      <w:lvlJc w:val="left"/>
      <w:pPr>
        <w:ind w:left="5760" w:hanging="1080"/>
      </w:pPr>
      <w:rPr>
        <w:rFonts w:ascii="Symbol" w:hAnsi="Symbol"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1" w15:restartNumberingAfterBreak="0">
    <w:nsid w:val="11E6512C"/>
    <w:multiLevelType w:val="hybridMultilevel"/>
    <w:tmpl w:val="3FAAE5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C80939"/>
    <w:multiLevelType w:val="hybridMultilevel"/>
    <w:tmpl w:val="FC480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5E25F8"/>
    <w:multiLevelType w:val="hybridMultilevel"/>
    <w:tmpl w:val="8F54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76F66"/>
    <w:multiLevelType w:val="hybridMultilevel"/>
    <w:tmpl w:val="CBE006B2"/>
    <w:lvl w:ilvl="0" w:tplc="497C6E96">
      <w:start w:val="2"/>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E373F3"/>
    <w:multiLevelType w:val="multilevel"/>
    <w:tmpl w:val="23CCA444"/>
    <w:lvl w:ilvl="0">
      <w:start w:val="6"/>
      <w:numFmt w:val="decimal"/>
      <w:lvlText w:val="%1"/>
      <w:lvlJc w:val="left"/>
      <w:pPr>
        <w:ind w:left="930" w:hanging="930"/>
      </w:pPr>
      <w:rPr>
        <w:rFonts w:hint="default"/>
      </w:rPr>
    </w:lvl>
    <w:lvl w:ilvl="1">
      <w:start w:val="1"/>
      <w:numFmt w:val="decimal"/>
      <w:lvlText w:val="%1.%2"/>
      <w:lvlJc w:val="left"/>
      <w:pPr>
        <w:ind w:left="1866" w:hanging="930"/>
      </w:pPr>
      <w:rPr>
        <w:rFonts w:hint="default"/>
      </w:rPr>
    </w:lvl>
    <w:lvl w:ilvl="2">
      <w:start w:val="3"/>
      <w:numFmt w:val="decimal"/>
      <w:lvlText w:val="%1.%2.%3"/>
      <w:lvlJc w:val="left"/>
      <w:pPr>
        <w:ind w:left="2802" w:hanging="930"/>
      </w:pPr>
      <w:rPr>
        <w:rFonts w:hint="default"/>
      </w:rPr>
    </w:lvl>
    <w:lvl w:ilvl="3">
      <w:start w:val="4"/>
      <w:numFmt w:val="decimal"/>
      <w:lvlText w:val="%1.%2.%3.%4"/>
      <w:lvlJc w:val="left"/>
      <w:pPr>
        <w:ind w:left="3738" w:hanging="930"/>
      </w:pPr>
      <w:rPr>
        <w:rFonts w:hint="default"/>
      </w:rPr>
    </w:lvl>
    <w:lvl w:ilvl="4">
      <w:start w:val="1"/>
      <w:numFmt w:val="decimal"/>
      <w:lvlText w:val="%1.%2.%3.%4.%5"/>
      <w:lvlJc w:val="left"/>
      <w:pPr>
        <w:ind w:left="4824" w:hanging="1080"/>
      </w:pPr>
      <w:rPr>
        <w:rFonts w:hint="default"/>
      </w:rPr>
    </w:lvl>
    <w:lvl w:ilvl="5">
      <w:start w:val="1"/>
      <w:numFmt w:val="bullet"/>
      <w:lvlText w:val=""/>
      <w:lvlJc w:val="left"/>
      <w:pPr>
        <w:ind w:left="5760" w:hanging="1080"/>
      </w:pPr>
      <w:rPr>
        <w:rFonts w:ascii="Symbol" w:hAnsi="Symbol"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6" w15:restartNumberingAfterBreak="0">
    <w:nsid w:val="2C3A5FFA"/>
    <w:multiLevelType w:val="hybridMultilevel"/>
    <w:tmpl w:val="71F08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60FCF"/>
    <w:multiLevelType w:val="hybridMultilevel"/>
    <w:tmpl w:val="A9FCC5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8A25C01"/>
    <w:multiLevelType w:val="hybridMultilevel"/>
    <w:tmpl w:val="A48E81B8"/>
    <w:lvl w:ilvl="0" w:tplc="DD2EE3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5FA62ACE"/>
    <w:multiLevelType w:val="multilevel"/>
    <w:tmpl w:val="3CBEB172"/>
    <w:lvl w:ilvl="0">
      <w:start w:val="1"/>
      <w:numFmt w:val="decimal"/>
      <w:pStyle w:val="Heading1"/>
      <w:lvlText w:val="%1.0"/>
      <w:lvlJc w:val="left"/>
      <w:pPr>
        <w:tabs>
          <w:tab w:val="num" w:pos="720"/>
        </w:tabs>
        <w:ind w:left="720" w:hanging="720"/>
      </w:pPr>
      <w:rPr>
        <w:rFonts w:hint="default"/>
        <w:b/>
        <w:i w:val="0"/>
        <w:kern w:val="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b w:val="0"/>
        <w:i w:val="0"/>
      </w:rPr>
    </w:lvl>
    <w:lvl w:ilvl="5">
      <w:start w:val="1"/>
      <w:numFmt w:val="decimal"/>
      <w:lvlText w:val="%1.%2.%3.%4.%5.%6."/>
      <w:lvlJc w:val="left"/>
      <w:pPr>
        <w:tabs>
          <w:tab w:val="num" w:pos="4680"/>
        </w:tabs>
        <w:ind w:left="4680" w:hanging="1080"/>
      </w:pPr>
      <w:rPr>
        <w:rFonts w:hint="default"/>
        <w:b w:val="0"/>
        <w:i w:val="0"/>
      </w:rPr>
    </w:lvl>
    <w:lvl w:ilvl="6">
      <w:start w:val="1"/>
      <w:numFmt w:val="decimal"/>
      <w:lvlText w:val="%1.%2.%3.%4.%5.%6.%7."/>
      <w:lvlJc w:val="left"/>
      <w:pPr>
        <w:tabs>
          <w:tab w:val="num" w:pos="5760"/>
        </w:tabs>
        <w:ind w:left="5760" w:hanging="1440"/>
      </w:pPr>
      <w:rPr>
        <w:rFonts w:hint="default"/>
        <w:b w:val="0"/>
        <w:i w:val="0"/>
      </w:rPr>
    </w:lvl>
    <w:lvl w:ilvl="7">
      <w:start w:val="1"/>
      <w:numFmt w:val="bullet"/>
      <w:lvlText w:val=""/>
      <w:lvlJc w:val="left"/>
      <w:pPr>
        <w:tabs>
          <w:tab w:val="num" w:pos="6480"/>
        </w:tabs>
        <w:ind w:left="6480" w:hanging="1440"/>
      </w:pPr>
      <w:rPr>
        <w:rFonts w:ascii="Symbol" w:hAnsi="Symbol" w:hint="default"/>
        <w:b w:val="0"/>
        <w:i w:val="0"/>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1"/>
  </w:num>
  <w:num w:numId="3">
    <w:abstractNumId w:val="7"/>
  </w:num>
  <w:num w:numId="4">
    <w:abstractNumId w:val="8"/>
  </w:num>
  <w:num w:numId="5">
    <w:abstractNumId w:val="5"/>
  </w:num>
  <w:num w:numId="6">
    <w:abstractNumId w:val="0"/>
  </w:num>
  <w:num w:numId="7">
    <w:abstractNumId w:val="9"/>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7F"/>
    <w:rsid w:val="000003D1"/>
    <w:rsid w:val="00033246"/>
    <w:rsid w:val="00053ED7"/>
    <w:rsid w:val="00071D27"/>
    <w:rsid w:val="00074832"/>
    <w:rsid w:val="000A7025"/>
    <w:rsid w:val="000C38BB"/>
    <w:rsid w:val="000E6499"/>
    <w:rsid w:val="00137C63"/>
    <w:rsid w:val="00161D01"/>
    <w:rsid w:val="00162DE4"/>
    <w:rsid w:val="001655CF"/>
    <w:rsid w:val="00177D84"/>
    <w:rsid w:val="001840A6"/>
    <w:rsid w:val="00195F23"/>
    <w:rsid w:val="001D78FF"/>
    <w:rsid w:val="00207CBE"/>
    <w:rsid w:val="00264AB7"/>
    <w:rsid w:val="00282ED6"/>
    <w:rsid w:val="00285E98"/>
    <w:rsid w:val="002A3BC4"/>
    <w:rsid w:val="002A5D2A"/>
    <w:rsid w:val="002A7B46"/>
    <w:rsid w:val="002B0AAE"/>
    <w:rsid w:val="002B2697"/>
    <w:rsid w:val="002B56D3"/>
    <w:rsid w:val="002E3D8E"/>
    <w:rsid w:val="002F2928"/>
    <w:rsid w:val="00303663"/>
    <w:rsid w:val="00311A63"/>
    <w:rsid w:val="003649FC"/>
    <w:rsid w:val="003A1401"/>
    <w:rsid w:val="003D3A9C"/>
    <w:rsid w:val="003E799B"/>
    <w:rsid w:val="00407AF6"/>
    <w:rsid w:val="00412BDA"/>
    <w:rsid w:val="004202B7"/>
    <w:rsid w:val="0042167F"/>
    <w:rsid w:val="0047191B"/>
    <w:rsid w:val="00491D1D"/>
    <w:rsid w:val="004A4D0F"/>
    <w:rsid w:val="004B12EB"/>
    <w:rsid w:val="005465B2"/>
    <w:rsid w:val="00547FB7"/>
    <w:rsid w:val="00571EBD"/>
    <w:rsid w:val="00593AF6"/>
    <w:rsid w:val="005A1BD6"/>
    <w:rsid w:val="005C0D98"/>
    <w:rsid w:val="00601725"/>
    <w:rsid w:val="006022D4"/>
    <w:rsid w:val="00610524"/>
    <w:rsid w:val="00636691"/>
    <w:rsid w:val="00654DD6"/>
    <w:rsid w:val="006A292D"/>
    <w:rsid w:val="006E18DB"/>
    <w:rsid w:val="006E4EC2"/>
    <w:rsid w:val="006F49C2"/>
    <w:rsid w:val="00720DE6"/>
    <w:rsid w:val="007324C1"/>
    <w:rsid w:val="00745845"/>
    <w:rsid w:val="0075221B"/>
    <w:rsid w:val="00761E35"/>
    <w:rsid w:val="00785951"/>
    <w:rsid w:val="007A4F78"/>
    <w:rsid w:val="007A798E"/>
    <w:rsid w:val="007C0811"/>
    <w:rsid w:val="007C4C4B"/>
    <w:rsid w:val="007D26E2"/>
    <w:rsid w:val="007F29A7"/>
    <w:rsid w:val="007F72A8"/>
    <w:rsid w:val="00806869"/>
    <w:rsid w:val="00812ADD"/>
    <w:rsid w:val="00873359"/>
    <w:rsid w:val="00883A07"/>
    <w:rsid w:val="00890D6D"/>
    <w:rsid w:val="008A5F2A"/>
    <w:rsid w:val="008B1F7F"/>
    <w:rsid w:val="008B649D"/>
    <w:rsid w:val="008C3147"/>
    <w:rsid w:val="008C4F82"/>
    <w:rsid w:val="008E76D9"/>
    <w:rsid w:val="009022A4"/>
    <w:rsid w:val="009064D7"/>
    <w:rsid w:val="00907B55"/>
    <w:rsid w:val="00912590"/>
    <w:rsid w:val="00932459"/>
    <w:rsid w:val="009C021D"/>
    <w:rsid w:val="009D5109"/>
    <w:rsid w:val="009E2778"/>
    <w:rsid w:val="00A356A2"/>
    <w:rsid w:val="00A50DEF"/>
    <w:rsid w:val="00A73FAD"/>
    <w:rsid w:val="00A762BE"/>
    <w:rsid w:val="00A8623D"/>
    <w:rsid w:val="00AA58F7"/>
    <w:rsid w:val="00AB3058"/>
    <w:rsid w:val="00AD276A"/>
    <w:rsid w:val="00AD361E"/>
    <w:rsid w:val="00AE525A"/>
    <w:rsid w:val="00B070E8"/>
    <w:rsid w:val="00B27A41"/>
    <w:rsid w:val="00B3659C"/>
    <w:rsid w:val="00B422E5"/>
    <w:rsid w:val="00B43BB3"/>
    <w:rsid w:val="00B5523F"/>
    <w:rsid w:val="00B55E00"/>
    <w:rsid w:val="00B57B23"/>
    <w:rsid w:val="00B614FA"/>
    <w:rsid w:val="00BB0B14"/>
    <w:rsid w:val="00BC25C1"/>
    <w:rsid w:val="00BD13FE"/>
    <w:rsid w:val="00BD226D"/>
    <w:rsid w:val="00BD39E6"/>
    <w:rsid w:val="00BF3608"/>
    <w:rsid w:val="00C00DED"/>
    <w:rsid w:val="00C04C17"/>
    <w:rsid w:val="00C05CA2"/>
    <w:rsid w:val="00C05D13"/>
    <w:rsid w:val="00C142AA"/>
    <w:rsid w:val="00C20699"/>
    <w:rsid w:val="00C243B0"/>
    <w:rsid w:val="00C40791"/>
    <w:rsid w:val="00C410CD"/>
    <w:rsid w:val="00C46340"/>
    <w:rsid w:val="00C62F8A"/>
    <w:rsid w:val="00C75ECA"/>
    <w:rsid w:val="00C76E70"/>
    <w:rsid w:val="00C83918"/>
    <w:rsid w:val="00CC450B"/>
    <w:rsid w:val="00CE002B"/>
    <w:rsid w:val="00CE0C45"/>
    <w:rsid w:val="00D076ED"/>
    <w:rsid w:val="00D24B6A"/>
    <w:rsid w:val="00D326F0"/>
    <w:rsid w:val="00D559EE"/>
    <w:rsid w:val="00D55AF9"/>
    <w:rsid w:val="00D7302E"/>
    <w:rsid w:val="00D875AC"/>
    <w:rsid w:val="00D91103"/>
    <w:rsid w:val="00D93DC2"/>
    <w:rsid w:val="00DC2CAF"/>
    <w:rsid w:val="00DC551B"/>
    <w:rsid w:val="00DE103F"/>
    <w:rsid w:val="00DE40DB"/>
    <w:rsid w:val="00E12B5C"/>
    <w:rsid w:val="00E16352"/>
    <w:rsid w:val="00E2378A"/>
    <w:rsid w:val="00E36253"/>
    <w:rsid w:val="00E5470B"/>
    <w:rsid w:val="00E76176"/>
    <w:rsid w:val="00E82684"/>
    <w:rsid w:val="00EA033A"/>
    <w:rsid w:val="00EC6C2F"/>
    <w:rsid w:val="00EE1A39"/>
    <w:rsid w:val="00F10A62"/>
    <w:rsid w:val="00F345EE"/>
    <w:rsid w:val="00F36802"/>
    <w:rsid w:val="00F467D4"/>
    <w:rsid w:val="00F50FCC"/>
    <w:rsid w:val="00F740A9"/>
    <w:rsid w:val="00FB7793"/>
    <w:rsid w:val="00FC2F62"/>
    <w:rsid w:val="00FF60AD"/>
    <w:rsid w:val="00F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8F642D"/>
  <w15:docId w15:val="{C840507F-B3C7-47DE-8700-F8539B5F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E98"/>
    <w:rPr>
      <w:rFonts w:ascii="Arial" w:eastAsia="Times New Roman" w:hAnsi="Arial" w:cs="Arial"/>
      <w:color w:val="000000"/>
      <w:szCs w:val="24"/>
    </w:rPr>
  </w:style>
  <w:style w:type="paragraph" w:styleId="Heading1">
    <w:name w:val="heading 1"/>
    <w:basedOn w:val="Normal"/>
    <w:next w:val="Normal"/>
    <w:link w:val="Heading1Char"/>
    <w:qFormat/>
    <w:locked/>
    <w:rsid w:val="002A3BC4"/>
    <w:pPr>
      <w:numPr>
        <w:numId w:val="7"/>
      </w:numPr>
      <w:spacing w:before="240"/>
      <w:outlineLvl w:val="0"/>
    </w:pPr>
    <w:rPr>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1F7F"/>
    <w:pPr>
      <w:ind w:left="720"/>
      <w:contextualSpacing/>
    </w:pPr>
  </w:style>
  <w:style w:type="paragraph" w:styleId="BalloonText">
    <w:name w:val="Balloon Text"/>
    <w:basedOn w:val="Normal"/>
    <w:link w:val="BalloonTextChar"/>
    <w:uiPriority w:val="99"/>
    <w:semiHidden/>
    <w:rsid w:val="008B1F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1F7F"/>
    <w:rPr>
      <w:rFonts w:ascii="Tahoma" w:hAnsi="Tahoma" w:cs="Tahoma"/>
      <w:color w:val="000000"/>
      <w:sz w:val="16"/>
      <w:szCs w:val="16"/>
    </w:rPr>
  </w:style>
  <w:style w:type="character" w:customStyle="1" w:styleId="Heading1Char">
    <w:name w:val="Heading 1 Char"/>
    <w:basedOn w:val="DefaultParagraphFont"/>
    <w:link w:val="Heading1"/>
    <w:rsid w:val="002A3BC4"/>
    <w:rPr>
      <w:rFonts w:ascii="Arial" w:eastAsia="Times New Roman" w:hAnsi="Arial" w:cs="Arial"/>
      <w:b/>
      <w:sz w:val="20"/>
      <w:szCs w:val="20"/>
    </w:rPr>
  </w:style>
  <w:style w:type="table" w:styleId="TableGrid">
    <w:name w:val="Table Grid"/>
    <w:basedOn w:val="TableNormal"/>
    <w:locked/>
    <w:rsid w:val="006A2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5D13"/>
    <w:rPr>
      <w:color w:val="0000FF" w:themeColor="hyperlink"/>
      <w:u w:val="single"/>
    </w:rPr>
  </w:style>
  <w:style w:type="character" w:styleId="PlaceholderText">
    <w:name w:val="Placeholder Text"/>
    <w:basedOn w:val="DefaultParagraphFont"/>
    <w:uiPriority w:val="99"/>
    <w:semiHidden/>
    <w:rsid w:val="00D55AF9"/>
    <w:rPr>
      <w:color w:val="808080"/>
    </w:rPr>
  </w:style>
  <w:style w:type="paragraph" w:styleId="Header">
    <w:name w:val="header"/>
    <w:basedOn w:val="Normal"/>
    <w:link w:val="HeaderChar"/>
    <w:uiPriority w:val="99"/>
    <w:unhideWhenUsed/>
    <w:rsid w:val="005465B2"/>
    <w:pPr>
      <w:tabs>
        <w:tab w:val="center" w:pos="4680"/>
        <w:tab w:val="right" w:pos="9360"/>
      </w:tabs>
    </w:pPr>
  </w:style>
  <w:style w:type="character" w:customStyle="1" w:styleId="HeaderChar">
    <w:name w:val="Header Char"/>
    <w:basedOn w:val="DefaultParagraphFont"/>
    <w:link w:val="Header"/>
    <w:uiPriority w:val="99"/>
    <w:rsid w:val="005465B2"/>
    <w:rPr>
      <w:rFonts w:ascii="Arial" w:eastAsia="Times New Roman" w:hAnsi="Arial" w:cs="Arial"/>
      <w:color w:val="000000"/>
      <w:szCs w:val="24"/>
    </w:rPr>
  </w:style>
  <w:style w:type="paragraph" w:styleId="Footer">
    <w:name w:val="footer"/>
    <w:basedOn w:val="Normal"/>
    <w:link w:val="FooterChar"/>
    <w:uiPriority w:val="99"/>
    <w:unhideWhenUsed/>
    <w:rsid w:val="005465B2"/>
    <w:pPr>
      <w:tabs>
        <w:tab w:val="center" w:pos="4680"/>
        <w:tab w:val="right" w:pos="9360"/>
      </w:tabs>
    </w:pPr>
  </w:style>
  <w:style w:type="character" w:customStyle="1" w:styleId="FooterChar">
    <w:name w:val="Footer Char"/>
    <w:basedOn w:val="DefaultParagraphFont"/>
    <w:link w:val="Footer"/>
    <w:uiPriority w:val="99"/>
    <w:rsid w:val="005465B2"/>
    <w:rPr>
      <w:rFonts w:ascii="Arial" w:eastAsia="Times New Roman"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da.gov/downloads/drugs/guidancecomplianceregulatoryinformation/guidances/ucm20128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Statistical Analysis Plan</vt:lpstr>
    </vt:vector>
  </TitlesOfParts>
  <Company>CCHMC</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Analysis Plan</dc:title>
  <dc:creator>CCHMC</dc:creator>
  <cp:lastModifiedBy>Alloway, Rita (allowarr)</cp:lastModifiedBy>
  <cp:revision>2</cp:revision>
  <cp:lastPrinted>2016-03-30T21:36:00Z</cp:lastPrinted>
  <dcterms:created xsi:type="dcterms:W3CDTF">2016-04-07T13:15:00Z</dcterms:created>
  <dcterms:modified xsi:type="dcterms:W3CDTF">2016-04-07T13:15:00Z</dcterms:modified>
</cp:coreProperties>
</file>