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A7" w:rsidRDefault="00A9528D" w:rsidP="00442CA7">
      <w:pPr>
        <w:spacing w:after="0" w:line="480" w:lineRule="auto"/>
      </w:pPr>
      <w:r>
        <w:rPr>
          <w:b/>
          <w:bCs/>
        </w:rPr>
        <w:t>S7 Text</w:t>
      </w:r>
      <w:bookmarkStart w:id="0" w:name="_GoBack"/>
      <w:bookmarkEnd w:id="0"/>
      <w:r w:rsidR="00442CA7">
        <w:rPr>
          <w:b/>
          <w:bCs/>
        </w:rPr>
        <w:t xml:space="preserve"> – Analyses unadjusted for monthly ward data from previous 2 years.</w:t>
      </w:r>
      <w:r w:rsidR="00442CA7">
        <w:t xml:space="preserve"> </w:t>
      </w:r>
    </w:p>
    <w:p w:rsidR="00442CA7" w:rsidRDefault="00442CA7" w:rsidP="00442CA7">
      <w:pPr>
        <w:spacing w:after="0" w:line="480" w:lineRule="auto"/>
      </w:pPr>
      <w:r>
        <w:t>Effect size estimates of main and trial-by-site interaction effects from each trial for primary and secondary outcomes. Main effects are interpreted as the impact of being exposed to the “no weekend” allied health condition compared to the “current” and/or “newly developed” weekend allied health conditions.</w:t>
      </w:r>
    </w:p>
    <w:tbl>
      <w:tblPr>
        <w:tblW w:w="12616" w:type="dxa"/>
        <w:tblLayout w:type="fixed"/>
        <w:tblLook w:val="00A0" w:firstRow="1" w:lastRow="0" w:firstColumn="1" w:lastColumn="0" w:noHBand="0" w:noVBand="0"/>
      </w:tblPr>
      <w:tblGrid>
        <w:gridCol w:w="2835"/>
        <w:gridCol w:w="1843"/>
        <w:gridCol w:w="1985"/>
        <w:gridCol w:w="1134"/>
        <w:gridCol w:w="1827"/>
        <w:gridCol w:w="2000"/>
        <w:gridCol w:w="992"/>
      </w:tblGrid>
      <w:tr w:rsidR="00442CA7" w:rsidTr="004220DB">
        <w:tc>
          <w:tcPr>
            <w:tcW w:w="2835" w:type="dxa"/>
            <w:tcBorders>
              <w:top w:val="single" w:sz="4" w:space="0" w:color="auto"/>
              <w:left w:val="nil"/>
              <w:bottom w:val="nil"/>
              <w:right w:val="nil"/>
            </w:tcBorders>
          </w:tcPr>
          <w:p w:rsidR="00442CA7" w:rsidRDefault="00442CA7">
            <w:pPr>
              <w:spacing w:after="0" w:line="480" w:lineRule="auto"/>
            </w:pPr>
          </w:p>
        </w:tc>
        <w:tc>
          <w:tcPr>
            <w:tcW w:w="3828" w:type="dxa"/>
            <w:gridSpan w:val="2"/>
            <w:tcBorders>
              <w:top w:val="single" w:sz="4" w:space="0" w:color="auto"/>
              <w:left w:val="nil"/>
              <w:bottom w:val="nil"/>
              <w:right w:val="nil"/>
            </w:tcBorders>
            <w:hideMark/>
          </w:tcPr>
          <w:p w:rsidR="00442CA7" w:rsidRDefault="00442CA7">
            <w:pPr>
              <w:spacing w:after="0" w:line="480" w:lineRule="auto"/>
              <w:jc w:val="center"/>
            </w:pPr>
            <w:r>
              <w:t>Trial 1</w:t>
            </w:r>
          </w:p>
        </w:tc>
        <w:tc>
          <w:tcPr>
            <w:tcW w:w="1134" w:type="dxa"/>
            <w:tcBorders>
              <w:top w:val="single" w:sz="4" w:space="0" w:color="auto"/>
              <w:left w:val="nil"/>
              <w:bottom w:val="nil"/>
              <w:right w:val="nil"/>
            </w:tcBorders>
          </w:tcPr>
          <w:p w:rsidR="00442CA7" w:rsidRDefault="00442CA7">
            <w:pPr>
              <w:spacing w:after="0" w:line="480" w:lineRule="auto"/>
              <w:jc w:val="center"/>
            </w:pPr>
          </w:p>
        </w:tc>
        <w:tc>
          <w:tcPr>
            <w:tcW w:w="3827" w:type="dxa"/>
            <w:gridSpan w:val="2"/>
            <w:tcBorders>
              <w:top w:val="single" w:sz="4" w:space="0" w:color="auto"/>
              <w:left w:val="nil"/>
              <w:bottom w:val="nil"/>
              <w:right w:val="nil"/>
            </w:tcBorders>
            <w:hideMark/>
          </w:tcPr>
          <w:p w:rsidR="00442CA7" w:rsidRDefault="00442CA7">
            <w:pPr>
              <w:spacing w:after="0" w:line="480" w:lineRule="auto"/>
              <w:jc w:val="center"/>
            </w:pPr>
            <w:r>
              <w:t>Trial 2</w:t>
            </w:r>
          </w:p>
        </w:tc>
        <w:tc>
          <w:tcPr>
            <w:tcW w:w="992" w:type="dxa"/>
            <w:tcBorders>
              <w:top w:val="single" w:sz="4" w:space="0" w:color="auto"/>
              <w:left w:val="nil"/>
              <w:bottom w:val="nil"/>
              <w:right w:val="nil"/>
            </w:tcBorders>
          </w:tcPr>
          <w:p w:rsidR="00442CA7" w:rsidRDefault="00442CA7">
            <w:pPr>
              <w:spacing w:after="0" w:line="480" w:lineRule="auto"/>
              <w:jc w:val="center"/>
            </w:pPr>
          </w:p>
        </w:tc>
      </w:tr>
      <w:tr w:rsidR="00442CA7" w:rsidTr="004220DB">
        <w:tc>
          <w:tcPr>
            <w:tcW w:w="2835" w:type="dxa"/>
            <w:tcBorders>
              <w:top w:val="nil"/>
              <w:left w:val="nil"/>
              <w:bottom w:val="single" w:sz="4" w:space="0" w:color="auto"/>
              <w:right w:val="nil"/>
            </w:tcBorders>
          </w:tcPr>
          <w:p w:rsidR="00442CA7" w:rsidRDefault="00442CA7">
            <w:pPr>
              <w:spacing w:after="0" w:line="480" w:lineRule="auto"/>
            </w:pPr>
          </w:p>
        </w:tc>
        <w:tc>
          <w:tcPr>
            <w:tcW w:w="1843" w:type="dxa"/>
            <w:tcBorders>
              <w:top w:val="nil"/>
              <w:left w:val="nil"/>
              <w:bottom w:val="single" w:sz="4" w:space="0" w:color="auto"/>
              <w:right w:val="nil"/>
            </w:tcBorders>
            <w:hideMark/>
          </w:tcPr>
          <w:p w:rsidR="00442CA7" w:rsidRDefault="00442CA7">
            <w:pPr>
              <w:spacing w:after="0" w:line="480" w:lineRule="auto"/>
              <w:jc w:val="center"/>
            </w:pPr>
            <w:r>
              <w:t>Main effect</w:t>
            </w:r>
          </w:p>
        </w:tc>
        <w:tc>
          <w:tcPr>
            <w:tcW w:w="1985" w:type="dxa"/>
            <w:tcBorders>
              <w:top w:val="nil"/>
              <w:left w:val="nil"/>
              <w:bottom w:val="single" w:sz="4" w:space="0" w:color="auto"/>
              <w:right w:val="nil"/>
            </w:tcBorders>
            <w:hideMark/>
          </w:tcPr>
          <w:p w:rsidR="00442CA7" w:rsidRDefault="00442CA7">
            <w:pPr>
              <w:spacing w:after="0" w:line="480" w:lineRule="auto"/>
              <w:jc w:val="center"/>
            </w:pPr>
            <w:r>
              <w:t>Intervention-by-site interaction</w:t>
            </w:r>
          </w:p>
        </w:tc>
        <w:tc>
          <w:tcPr>
            <w:tcW w:w="1134" w:type="dxa"/>
            <w:tcBorders>
              <w:top w:val="nil"/>
              <w:left w:val="nil"/>
              <w:bottom w:val="single" w:sz="4" w:space="0" w:color="auto"/>
              <w:right w:val="nil"/>
            </w:tcBorders>
            <w:hideMark/>
          </w:tcPr>
          <w:p w:rsidR="00442CA7" w:rsidRDefault="00442CA7">
            <w:pPr>
              <w:spacing w:after="0" w:line="480" w:lineRule="auto"/>
              <w:jc w:val="center"/>
            </w:pPr>
            <w:r>
              <w:t>ICC*</w:t>
            </w:r>
          </w:p>
        </w:tc>
        <w:tc>
          <w:tcPr>
            <w:tcW w:w="1827" w:type="dxa"/>
            <w:tcBorders>
              <w:top w:val="nil"/>
              <w:left w:val="nil"/>
              <w:bottom w:val="single" w:sz="4" w:space="0" w:color="auto"/>
              <w:right w:val="nil"/>
            </w:tcBorders>
            <w:hideMark/>
          </w:tcPr>
          <w:p w:rsidR="00442CA7" w:rsidRDefault="00442CA7">
            <w:pPr>
              <w:spacing w:after="0" w:line="480" w:lineRule="auto"/>
              <w:jc w:val="center"/>
            </w:pPr>
            <w:r>
              <w:t>Main effect</w:t>
            </w:r>
          </w:p>
        </w:tc>
        <w:tc>
          <w:tcPr>
            <w:tcW w:w="2000" w:type="dxa"/>
            <w:tcBorders>
              <w:top w:val="nil"/>
              <w:left w:val="nil"/>
              <w:bottom w:val="single" w:sz="4" w:space="0" w:color="auto"/>
              <w:right w:val="nil"/>
            </w:tcBorders>
            <w:hideMark/>
          </w:tcPr>
          <w:p w:rsidR="00442CA7" w:rsidRDefault="00442CA7">
            <w:pPr>
              <w:spacing w:after="0" w:line="480" w:lineRule="auto"/>
              <w:jc w:val="center"/>
            </w:pPr>
            <w:r>
              <w:t>Intervention-by-site interaction</w:t>
            </w:r>
          </w:p>
        </w:tc>
        <w:tc>
          <w:tcPr>
            <w:tcW w:w="992" w:type="dxa"/>
            <w:tcBorders>
              <w:top w:val="nil"/>
              <w:left w:val="nil"/>
              <w:bottom w:val="single" w:sz="4" w:space="0" w:color="auto"/>
              <w:right w:val="nil"/>
            </w:tcBorders>
            <w:hideMark/>
          </w:tcPr>
          <w:p w:rsidR="00442CA7" w:rsidRDefault="00442CA7">
            <w:pPr>
              <w:spacing w:after="0" w:line="480" w:lineRule="auto"/>
              <w:jc w:val="center"/>
            </w:pPr>
            <w:r>
              <w:t>ICC*</w:t>
            </w:r>
          </w:p>
        </w:tc>
      </w:tr>
      <w:tr w:rsidR="00442CA7" w:rsidTr="004220DB">
        <w:tc>
          <w:tcPr>
            <w:tcW w:w="2835" w:type="dxa"/>
            <w:tcBorders>
              <w:top w:val="single" w:sz="4" w:space="0" w:color="auto"/>
              <w:left w:val="nil"/>
              <w:bottom w:val="nil"/>
              <w:right w:val="nil"/>
            </w:tcBorders>
            <w:hideMark/>
          </w:tcPr>
          <w:p w:rsidR="00442CA7" w:rsidRDefault="00442CA7">
            <w:pPr>
              <w:spacing w:after="0" w:line="480" w:lineRule="auto"/>
              <w:rPr>
                <w:b/>
                <w:bCs/>
              </w:rPr>
            </w:pPr>
            <w:r>
              <w:rPr>
                <w:b/>
                <w:bCs/>
              </w:rPr>
              <w:t>Primary</w:t>
            </w:r>
          </w:p>
        </w:tc>
        <w:tc>
          <w:tcPr>
            <w:tcW w:w="1843" w:type="dxa"/>
            <w:tcBorders>
              <w:top w:val="single" w:sz="4" w:space="0" w:color="auto"/>
              <w:left w:val="nil"/>
              <w:bottom w:val="nil"/>
              <w:right w:val="nil"/>
            </w:tcBorders>
          </w:tcPr>
          <w:p w:rsidR="00442CA7" w:rsidRDefault="00442CA7">
            <w:pPr>
              <w:spacing w:after="0" w:line="480" w:lineRule="auto"/>
              <w:jc w:val="center"/>
            </w:pPr>
          </w:p>
        </w:tc>
        <w:tc>
          <w:tcPr>
            <w:tcW w:w="1985" w:type="dxa"/>
            <w:tcBorders>
              <w:top w:val="single" w:sz="4" w:space="0" w:color="auto"/>
              <w:left w:val="nil"/>
              <w:bottom w:val="nil"/>
              <w:right w:val="nil"/>
            </w:tcBorders>
          </w:tcPr>
          <w:p w:rsidR="00442CA7" w:rsidRDefault="00442CA7">
            <w:pPr>
              <w:spacing w:after="0" w:line="480" w:lineRule="auto"/>
              <w:jc w:val="center"/>
            </w:pPr>
          </w:p>
        </w:tc>
        <w:tc>
          <w:tcPr>
            <w:tcW w:w="1134" w:type="dxa"/>
            <w:tcBorders>
              <w:top w:val="single" w:sz="4" w:space="0" w:color="auto"/>
              <w:left w:val="nil"/>
              <w:bottom w:val="nil"/>
              <w:right w:val="nil"/>
            </w:tcBorders>
          </w:tcPr>
          <w:p w:rsidR="00442CA7" w:rsidRDefault="00442CA7">
            <w:pPr>
              <w:spacing w:after="0" w:line="480" w:lineRule="auto"/>
              <w:jc w:val="center"/>
            </w:pPr>
          </w:p>
        </w:tc>
        <w:tc>
          <w:tcPr>
            <w:tcW w:w="1827" w:type="dxa"/>
            <w:tcBorders>
              <w:top w:val="single" w:sz="4" w:space="0" w:color="auto"/>
              <w:left w:val="nil"/>
              <w:bottom w:val="nil"/>
              <w:right w:val="nil"/>
            </w:tcBorders>
          </w:tcPr>
          <w:p w:rsidR="00442CA7" w:rsidRDefault="00442CA7">
            <w:pPr>
              <w:spacing w:after="0" w:line="480" w:lineRule="auto"/>
              <w:jc w:val="center"/>
            </w:pPr>
          </w:p>
        </w:tc>
        <w:tc>
          <w:tcPr>
            <w:tcW w:w="2000" w:type="dxa"/>
            <w:tcBorders>
              <w:top w:val="single" w:sz="4" w:space="0" w:color="auto"/>
              <w:left w:val="nil"/>
              <w:bottom w:val="nil"/>
              <w:right w:val="nil"/>
            </w:tcBorders>
          </w:tcPr>
          <w:p w:rsidR="00442CA7" w:rsidRDefault="00442CA7">
            <w:pPr>
              <w:spacing w:after="0" w:line="480" w:lineRule="auto"/>
              <w:jc w:val="center"/>
            </w:pPr>
          </w:p>
        </w:tc>
        <w:tc>
          <w:tcPr>
            <w:tcW w:w="992" w:type="dxa"/>
            <w:tcBorders>
              <w:top w:val="single" w:sz="4" w:space="0" w:color="auto"/>
              <w:left w:val="nil"/>
              <w:bottom w:val="nil"/>
              <w:right w:val="nil"/>
            </w:tcBorders>
          </w:tcPr>
          <w:p w:rsidR="00442CA7" w:rsidRDefault="00442CA7">
            <w:pPr>
              <w:spacing w:after="0" w:line="480" w:lineRule="auto"/>
              <w:jc w:val="center"/>
            </w:pPr>
          </w:p>
        </w:tc>
      </w:tr>
      <w:tr w:rsidR="00442CA7" w:rsidTr="004220DB">
        <w:tc>
          <w:tcPr>
            <w:tcW w:w="2835" w:type="dxa"/>
            <w:hideMark/>
          </w:tcPr>
          <w:p w:rsidR="00442CA7" w:rsidRDefault="00442CA7">
            <w:pPr>
              <w:spacing w:after="0" w:line="480" w:lineRule="auto"/>
            </w:pPr>
            <w:r>
              <w:t>Length of stay (days)</w:t>
            </w:r>
          </w:p>
        </w:tc>
        <w:tc>
          <w:tcPr>
            <w:tcW w:w="1843" w:type="dxa"/>
            <w:hideMark/>
          </w:tcPr>
          <w:p w:rsidR="00442CA7" w:rsidRPr="00704D58" w:rsidRDefault="00442CA7" w:rsidP="004220DB">
            <w:pPr>
              <w:spacing w:after="0" w:line="480" w:lineRule="auto"/>
              <w:jc w:val="center"/>
            </w:pPr>
            <w:r w:rsidRPr="00704D58">
              <w:t>1·3</w:t>
            </w:r>
            <w:r w:rsidR="004220DB" w:rsidRPr="00704D58">
              <w:t>4 (0·89 to 1·80</w:t>
            </w:r>
            <w:r w:rsidRPr="00704D58">
              <w:t>), p&lt;0·001</w:t>
            </w:r>
            <w:r w:rsidRPr="00704D58">
              <w:rPr>
                <w:vertAlign w:val="superscript"/>
              </w:rPr>
              <w:t>€</w:t>
            </w:r>
          </w:p>
        </w:tc>
        <w:tc>
          <w:tcPr>
            <w:tcW w:w="1985" w:type="dxa"/>
            <w:hideMark/>
          </w:tcPr>
          <w:p w:rsidR="00442CA7" w:rsidRPr="00704D58" w:rsidRDefault="004220DB" w:rsidP="004220DB">
            <w:pPr>
              <w:spacing w:after="0" w:line="480" w:lineRule="auto"/>
              <w:jc w:val="center"/>
            </w:pPr>
            <w:r w:rsidRPr="00704D58">
              <w:t>-</w:t>
            </w:r>
            <w:r w:rsidR="00442CA7" w:rsidRPr="00704D58">
              <w:t>0·</w:t>
            </w:r>
            <w:r w:rsidRPr="00704D58">
              <w:t>14 (-0·</w:t>
            </w:r>
            <w:r w:rsidR="00442CA7" w:rsidRPr="00704D58">
              <w:t>7</w:t>
            </w:r>
            <w:r w:rsidRPr="00704D58">
              <w:t>3</w:t>
            </w:r>
            <w:r w:rsidR="00442CA7" w:rsidRPr="00704D58">
              <w:t xml:space="preserve"> to 0·</w:t>
            </w:r>
            <w:r w:rsidRPr="00704D58">
              <w:t>46</w:t>
            </w:r>
            <w:r w:rsidR="00442CA7" w:rsidRPr="00704D58">
              <w:t>), p=0·</w:t>
            </w:r>
            <w:r w:rsidRPr="00704D58">
              <w:t>66</w:t>
            </w:r>
          </w:p>
        </w:tc>
        <w:tc>
          <w:tcPr>
            <w:tcW w:w="1134" w:type="dxa"/>
            <w:hideMark/>
          </w:tcPr>
          <w:p w:rsidR="00442CA7" w:rsidRPr="00704D58" w:rsidRDefault="004220DB">
            <w:pPr>
              <w:spacing w:after="0" w:line="480" w:lineRule="auto"/>
              <w:jc w:val="center"/>
            </w:pPr>
            <w:r w:rsidRPr="00704D58">
              <w:t>S:0·0003</w:t>
            </w:r>
          </w:p>
          <w:p w:rsidR="00442CA7" w:rsidRPr="00704D58" w:rsidRDefault="004220DB">
            <w:pPr>
              <w:spacing w:after="0" w:line="480" w:lineRule="auto"/>
              <w:jc w:val="center"/>
            </w:pPr>
            <w:r w:rsidRPr="00704D58">
              <w:t>W:0·02</w:t>
            </w:r>
          </w:p>
          <w:p w:rsidR="00442CA7" w:rsidRPr="00704D58" w:rsidRDefault="00442CA7">
            <w:pPr>
              <w:spacing w:after="0" w:line="480" w:lineRule="auto"/>
              <w:jc w:val="center"/>
            </w:pPr>
            <w:r w:rsidRPr="00704D58">
              <w:t>E:0·91</w:t>
            </w:r>
          </w:p>
        </w:tc>
        <w:tc>
          <w:tcPr>
            <w:tcW w:w="1827" w:type="dxa"/>
            <w:hideMark/>
          </w:tcPr>
          <w:p w:rsidR="00442CA7" w:rsidRPr="00704D58" w:rsidRDefault="00442CA7" w:rsidP="004220DB">
            <w:pPr>
              <w:spacing w:after="0" w:line="480" w:lineRule="auto"/>
              <w:jc w:val="center"/>
            </w:pPr>
            <w:r w:rsidRPr="00704D58">
              <w:t>-1·5</w:t>
            </w:r>
            <w:r w:rsidR="004220DB" w:rsidRPr="00704D58">
              <w:t>5</w:t>
            </w:r>
            <w:r w:rsidRPr="00704D58">
              <w:t xml:space="preserve"> (-</w:t>
            </w:r>
            <w:r w:rsidR="004220DB" w:rsidRPr="00704D58">
              <w:t>1</w:t>
            </w:r>
            <w:r w:rsidRPr="00704D58">
              <w:t>·</w:t>
            </w:r>
            <w:r w:rsidR="004220DB" w:rsidRPr="00704D58">
              <w:t>99 to -1·11</w:t>
            </w:r>
            <w:r w:rsidRPr="00704D58">
              <w:t>), p&lt;0·001</w:t>
            </w:r>
            <w:r w:rsidRPr="00704D58">
              <w:rPr>
                <w:vertAlign w:val="superscript"/>
              </w:rPr>
              <w:t>€</w:t>
            </w:r>
          </w:p>
        </w:tc>
        <w:tc>
          <w:tcPr>
            <w:tcW w:w="2000" w:type="dxa"/>
            <w:hideMark/>
          </w:tcPr>
          <w:p w:rsidR="00442CA7" w:rsidRPr="00704D58" w:rsidRDefault="00442CA7" w:rsidP="004220DB">
            <w:pPr>
              <w:spacing w:after="0" w:line="480" w:lineRule="auto"/>
              <w:jc w:val="center"/>
            </w:pPr>
            <w:r w:rsidRPr="00704D58">
              <w:t>0·2</w:t>
            </w:r>
            <w:r w:rsidR="004220DB" w:rsidRPr="00704D58">
              <w:t>5</w:t>
            </w:r>
            <w:r w:rsidRPr="00704D58">
              <w:t xml:space="preserve"> (-0·</w:t>
            </w:r>
            <w:r w:rsidR="004220DB" w:rsidRPr="00704D58">
              <w:t>39</w:t>
            </w:r>
            <w:r w:rsidRPr="00704D58">
              <w:t xml:space="preserve"> to 0·</w:t>
            </w:r>
            <w:r w:rsidR="004220DB" w:rsidRPr="00704D58">
              <w:t>90), p=0·45</w:t>
            </w:r>
          </w:p>
        </w:tc>
        <w:tc>
          <w:tcPr>
            <w:tcW w:w="992" w:type="dxa"/>
            <w:hideMark/>
          </w:tcPr>
          <w:p w:rsidR="00442CA7" w:rsidRDefault="00442CA7">
            <w:pPr>
              <w:spacing w:after="0" w:line="480" w:lineRule="auto"/>
              <w:jc w:val="center"/>
            </w:pPr>
            <w:r>
              <w:t>S</w:t>
            </w:r>
            <w:r w:rsidR="004220DB">
              <w:t>:0·0003</w:t>
            </w:r>
          </w:p>
          <w:p w:rsidR="00442CA7" w:rsidRDefault="00442CA7">
            <w:pPr>
              <w:spacing w:after="0" w:line="480" w:lineRule="auto"/>
              <w:jc w:val="center"/>
            </w:pPr>
            <w:r>
              <w:t>W:0·03</w:t>
            </w:r>
          </w:p>
          <w:p w:rsidR="00442CA7" w:rsidRDefault="00442CA7">
            <w:pPr>
              <w:spacing w:after="0" w:line="480" w:lineRule="auto"/>
              <w:jc w:val="center"/>
            </w:pPr>
            <w:r>
              <w:t>E:0·88</w:t>
            </w:r>
          </w:p>
        </w:tc>
      </w:tr>
      <w:tr w:rsidR="00442CA7" w:rsidTr="004220DB">
        <w:tc>
          <w:tcPr>
            <w:tcW w:w="2835" w:type="dxa"/>
            <w:hideMark/>
          </w:tcPr>
          <w:p w:rsidR="00442CA7" w:rsidRDefault="00442CA7">
            <w:pPr>
              <w:spacing w:after="0" w:line="480" w:lineRule="auto"/>
            </w:pPr>
            <w:r>
              <w:t>Length of stay (log transformed)</w:t>
            </w:r>
          </w:p>
        </w:tc>
        <w:tc>
          <w:tcPr>
            <w:tcW w:w="1843" w:type="dxa"/>
            <w:hideMark/>
          </w:tcPr>
          <w:p w:rsidR="00442CA7" w:rsidRPr="00704D58" w:rsidRDefault="00442CA7" w:rsidP="004220DB">
            <w:pPr>
              <w:spacing w:after="0" w:line="480" w:lineRule="auto"/>
              <w:jc w:val="center"/>
            </w:pPr>
            <w:r w:rsidRPr="00704D58">
              <w:t>0·</w:t>
            </w:r>
            <w:r w:rsidR="004220DB" w:rsidRPr="00704D58">
              <w:t>10 (0·04 to 0·16), p=0.001</w:t>
            </w:r>
          </w:p>
        </w:tc>
        <w:tc>
          <w:tcPr>
            <w:tcW w:w="1985" w:type="dxa"/>
            <w:hideMark/>
          </w:tcPr>
          <w:p w:rsidR="00442CA7" w:rsidRPr="00704D58" w:rsidRDefault="004220DB" w:rsidP="004220DB">
            <w:pPr>
              <w:spacing w:after="0" w:line="480" w:lineRule="auto"/>
              <w:jc w:val="center"/>
            </w:pPr>
            <w:r w:rsidRPr="00704D58">
              <w:t>-0·09</w:t>
            </w:r>
            <w:r w:rsidR="00442CA7" w:rsidRPr="00704D58">
              <w:t xml:space="preserve"> (-0·1</w:t>
            </w:r>
            <w:r w:rsidRPr="00704D58">
              <w:t>7</w:t>
            </w:r>
            <w:r w:rsidR="00442CA7" w:rsidRPr="00704D58">
              <w:t xml:space="preserve"> to </w:t>
            </w:r>
            <w:r w:rsidRPr="00704D58">
              <w:t>-0.014</w:t>
            </w:r>
            <w:r w:rsidR="00442CA7" w:rsidRPr="00704D58">
              <w:t>), p=0·0</w:t>
            </w:r>
            <w:r w:rsidRPr="00704D58">
              <w:t>2</w:t>
            </w:r>
          </w:p>
        </w:tc>
        <w:tc>
          <w:tcPr>
            <w:tcW w:w="1134" w:type="dxa"/>
            <w:hideMark/>
          </w:tcPr>
          <w:p w:rsidR="00442CA7" w:rsidRPr="00704D58" w:rsidRDefault="00442CA7" w:rsidP="004220DB">
            <w:pPr>
              <w:spacing w:after="0" w:line="480" w:lineRule="auto"/>
              <w:jc w:val="center"/>
            </w:pPr>
            <w:r w:rsidRPr="00704D58">
              <w:t>S:</w:t>
            </w:r>
            <w:r w:rsidR="004220DB" w:rsidRPr="00704D58">
              <w:t xml:space="preserve"> 0·0002</w:t>
            </w:r>
          </w:p>
          <w:p w:rsidR="00442CA7" w:rsidRPr="00704D58" w:rsidRDefault="004220DB">
            <w:pPr>
              <w:spacing w:after="0" w:line="480" w:lineRule="auto"/>
              <w:jc w:val="center"/>
            </w:pPr>
            <w:r w:rsidRPr="00704D58">
              <w:t>W:0·06</w:t>
            </w:r>
          </w:p>
          <w:p w:rsidR="00442CA7" w:rsidRPr="00704D58" w:rsidRDefault="004220DB">
            <w:pPr>
              <w:spacing w:after="0" w:line="480" w:lineRule="auto"/>
              <w:jc w:val="center"/>
            </w:pPr>
            <w:r w:rsidRPr="00704D58">
              <w:t>E:0·90</w:t>
            </w:r>
          </w:p>
        </w:tc>
        <w:tc>
          <w:tcPr>
            <w:tcW w:w="1827" w:type="dxa"/>
            <w:hideMark/>
          </w:tcPr>
          <w:p w:rsidR="00442CA7" w:rsidRPr="00704D58" w:rsidRDefault="0006092E">
            <w:pPr>
              <w:spacing w:after="0" w:line="480" w:lineRule="auto"/>
              <w:jc w:val="center"/>
            </w:pPr>
            <w:r w:rsidRPr="00704D58">
              <w:t>-0·14 (-0·20 to -0·07</w:t>
            </w:r>
            <w:r w:rsidR="00442CA7" w:rsidRPr="00704D58">
              <w:t>), p&lt;0·001</w:t>
            </w:r>
          </w:p>
        </w:tc>
        <w:tc>
          <w:tcPr>
            <w:tcW w:w="2000" w:type="dxa"/>
            <w:hideMark/>
          </w:tcPr>
          <w:p w:rsidR="00442CA7" w:rsidRPr="00704D58" w:rsidRDefault="00442CA7">
            <w:pPr>
              <w:spacing w:after="0" w:line="480" w:lineRule="auto"/>
              <w:jc w:val="center"/>
            </w:pPr>
            <w:r w:rsidRPr="00704D58">
              <w:t>-0·03 (-0·13 to 0·06), p=0·47</w:t>
            </w:r>
          </w:p>
        </w:tc>
        <w:tc>
          <w:tcPr>
            <w:tcW w:w="992" w:type="dxa"/>
            <w:hideMark/>
          </w:tcPr>
          <w:p w:rsidR="00442CA7" w:rsidRDefault="00442CA7" w:rsidP="0006092E">
            <w:pPr>
              <w:spacing w:after="0" w:line="480" w:lineRule="auto"/>
              <w:jc w:val="center"/>
            </w:pPr>
            <w:r>
              <w:t>S:0·0</w:t>
            </w:r>
            <w:r w:rsidR="0006092E">
              <w:t>003</w:t>
            </w:r>
          </w:p>
          <w:p w:rsidR="00442CA7" w:rsidRDefault="0006092E">
            <w:pPr>
              <w:spacing w:after="0" w:line="480" w:lineRule="auto"/>
              <w:jc w:val="center"/>
            </w:pPr>
            <w:r>
              <w:t>W:0·07</w:t>
            </w:r>
          </w:p>
          <w:p w:rsidR="00442CA7" w:rsidRDefault="0006092E">
            <w:pPr>
              <w:spacing w:after="0" w:line="480" w:lineRule="auto"/>
              <w:jc w:val="center"/>
            </w:pPr>
            <w:r>
              <w:t>E:0·88</w:t>
            </w:r>
          </w:p>
        </w:tc>
      </w:tr>
      <w:tr w:rsidR="00442CA7" w:rsidTr="004220DB">
        <w:tc>
          <w:tcPr>
            <w:tcW w:w="2835" w:type="dxa"/>
            <w:hideMark/>
          </w:tcPr>
          <w:p w:rsidR="00442CA7" w:rsidRDefault="00442CA7">
            <w:pPr>
              <w:spacing w:after="0" w:line="480" w:lineRule="auto"/>
            </w:pPr>
            <w:r>
              <w:t xml:space="preserve">Proportion of patients staying longer than expected </w:t>
            </w:r>
          </w:p>
        </w:tc>
        <w:tc>
          <w:tcPr>
            <w:tcW w:w="1843" w:type="dxa"/>
            <w:hideMark/>
          </w:tcPr>
          <w:p w:rsidR="00442CA7" w:rsidRPr="00704D58" w:rsidRDefault="00442CA7">
            <w:pPr>
              <w:spacing w:after="0" w:line="480" w:lineRule="auto"/>
              <w:jc w:val="center"/>
            </w:pPr>
            <w:r w:rsidRPr="00704D58">
              <w:t>0·01 (-0·01 to 0·04), p=0·30</w:t>
            </w:r>
          </w:p>
        </w:tc>
        <w:tc>
          <w:tcPr>
            <w:tcW w:w="1985" w:type="dxa"/>
            <w:hideMark/>
          </w:tcPr>
          <w:p w:rsidR="00442CA7" w:rsidRPr="00704D58" w:rsidRDefault="0006092E">
            <w:pPr>
              <w:spacing w:after="0" w:line="480" w:lineRule="auto"/>
              <w:jc w:val="center"/>
            </w:pPr>
            <w:r w:rsidRPr="00704D58">
              <w:t>-0·02 (-0·06 to 0·02), p=0·30</w:t>
            </w:r>
          </w:p>
        </w:tc>
        <w:tc>
          <w:tcPr>
            <w:tcW w:w="1134" w:type="dxa"/>
            <w:hideMark/>
          </w:tcPr>
          <w:p w:rsidR="00442CA7" w:rsidRPr="00704D58" w:rsidRDefault="0006092E">
            <w:pPr>
              <w:spacing w:after="0" w:line="480" w:lineRule="auto"/>
              <w:jc w:val="center"/>
            </w:pPr>
            <w:r w:rsidRPr="00704D58">
              <w:t>S:0·82</w:t>
            </w:r>
          </w:p>
          <w:p w:rsidR="00442CA7" w:rsidRPr="00704D58" w:rsidRDefault="0006092E">
            <w:pPr>
              <w:spacing w:after="0" w:line="480" w:lineRule="auto"/>
              <w:jc w:val="center"/>
            </w:pPr>
            <w:r w:rsidRPr="00704D58">
              <w:t>W:0·85</w:t>
            </w:r>
          </w:p>
        </w:tc>
        <w:tc>
          <w:tcPr>
            <w:tcW w:w="1827" w:type="dxa"/>
            <w:hideMark/>
          </w:tcPr>
          <w:p w:rsidR="00442CA7" w:rsidRPr="00704D58" w:rsidRDefault="0006092E" w:rsidP="0006092E">
            <w:pPr>
              <w:spacing w:after="0" w:line="480" w:lineRule="auto"/>
              <w:jc w:val="center"/>
            </w:pPr>
            <w:r w:rsidRPr="00704D58">
              <w:t>-0·02 (-0·05 to 0·00</w:t>
            </w:r>
            <w:r w:rsidR="00442CA7" w:rsidRPr="00704D58">
              <w:t>), p=0·0</w:t>
            </w:r>
            <w:r w:rsidRPr="00704D58">
              <w:t>8</w:t>
            </w:r>
          </w:p>
        </w:tc>
        <w:tc>
          <w:tcPr>
            <w:tcW w:w="2000" w:type="dxa"/>
            <w:hideMark/>
          </w:tcPr>
          <w:p w:rsidR="00442CA7" w:rsidRPr="00704D58" w:rsidRDefault="0006092E" w:rsidP="0006092E">
            <w:pPr>
              <w:spacing w:after="0" w:line="480" w:lineRule="auto"/>
              <w:jc w:val="center"/>
            </w:pPr>
            <w:r w:rsidRPr="00704D58">
              <w:t>-0·00</w:t>
            </w:r>
            <w:r w:rsidR="00442CA7" w:rsidRPr="00704D58">
              <w:t xml:space="preserve"> (-0·0</w:t>
            </w:r>
            <w:r w:rsidRPr="00704D58">
              <w:t>4 to 0·04</w:t>
            </w:r>
            <w:r w:rsidR="00442CA7" w:rsidRPr="00704D58">
              <w:t>), p=0·</w:t>
            </w:r>
            <w:r w:rsidRPr="00704D58">
              <w:t>86</w:t>
            </w:r>
          </w:p>
        </w:tc>
        <w:tc>
          <w:tcPr>
            <w:tcW w:w="992" w:type="dxa"/>
            <w:hideMark/>
          </w:tcPr>
          <w:p w:rsidR="00442CA7" w:rsidRDefault="0006092E">
            <w:pPr>
              <w:spacing w:after="0" w:line="480" w:lineRule="auto"/>
              <w:jc w:val="center"/>
            </w:pPr>
            <w:r>
              <w:t>S:0·84</w:t>
            </w:r>
          </w:p>
          <w:p w:rsidR="00442CA7" w:rsidRDefault="00442CA7">
            <w:pPr>
              <w:spacing w:after="0" w:line="480" w:lineRule="auto"/>
              <w:jc w:val="center"/>
            </w:pPr>
            <w:r>
              <w:t>W:0·88</w:t>
            </w:r>
          </w:p>
        </w:tc>
      </w:tr>
      <w:tr w:rsidR="00442CA7" w:rsidTr="004220DB">
        <w:tc>
          <w:tcPr>
            <w:tcW w:w="2835" w:type="dxa"/>
            <w:hideMark/>
          </w:tcPr>
          <w:p w:rsidR="00442CA7" w:rsidRDefault="00442CA7">
            <w:pPr>
              <w:spacing w:after="0" w:line="480" w:lineRule="auto"/>
            </w:pPr>
            <w:r>
              <w:lastRenderedPageBreak/>
              <w:t xml:space="preserve">Proportion with an unplanned readmission within 28 days </w:t>
            </w:r>
          </w:p>
        </w:tc>
        <w:tc>
          <w:tcPr>
            <w:tcW w:w="1843" w:type="dxa"/>
            <w:hideMark/>
          </w:tcPr>
          <w:p w:rsidR="00442CA7" w:rsidRPr="00704D58" w:rsidRDefault="0006092E">
            <w:pPr>
              <w:spacing w:after="0" w:line="480" w:lineRule="auto"/>
              <w:jc w:val="center"/>
            </w:pPr>
            <w:r w:rsidRPr="00704D58">
              <w:t>0·01 (-0·01 to 0·03), p=0·19</w:t>
            </w:r>
          </w:p>
        </w:tc>
        <w:tc>
          <w:tcPr>
            <w:tcW w:w="1985" w:type="dxa"/>
            <w:hideMark/>
          </w:tcPr>
          <w:p w:rsidR="00442CA7" w:rsidRPr="00704D58" w:rsidRDefault="0006092E">
            <w:pPr>
              <w:spacing w:after="0" w:line="480" w:lineRule="auto"/>
              <w:jc w:val="center"/>
            </w:pPr>
            <w:r w:rsidRPr="00704D58">
              <w:t>-0·04 (-0·07</w:t>
            </w:r>
            <w:r w:rsidR="00442CA7" w:rsidRPr="00704D58">
              <w:t xml:space="preserve"> to -0·02), p&lt;0·001</w:t>
            </w:r>
            <w:r w:rsidR="00442CA7" w:rsidRPr="00704D58">
              <w:rPr>
                <w:vertAlign w:val="superscript"/>
              </w:rPr>
              <w:t>€</w:t>
            </w:r>
          </w:p>
        </w:tc>
        <w:tc>
          <w:tcPr>
            <w:tcW w:w="1134" w:type="dxa"/>
            <w:hideMark/>
          </w:tcPr>
          <w:p w:rsidR="00442CA7" w:rsidRPr="00704D58" w:rsidRDefault="00442CA7">
            <w:pPr>
              <w:spacing w:after="0" w:line="480" w:lineRule="auto"/>
              <w:jc w:val="center"/>
              <w:rPr>
                <w:vertAlign w:val="superscript"/>
              </w:rPr>
            </w:pPr>
            <w:r w:rsidRPr="00704D58">
              <w:t>S:</w:t>
            </w:r>
            <w:r w:rsidRPr="00704D58">
              <w:rPr>
                <w:vertAlign w:val="superscript"/>
              </w:rPr>
              <w:t>£</w:t>
            </w:r>
          </w:p>
          <w:p w:rsidR="00442CA7" w:rsidRPr="00704D58" w:rsidRDefault="0006092E">
            <w:pPr>
              <w:spacing w:after="0" w:line="480" w:lineRule="auto"/>
              <w:jc w:val="center"/>
            </w:pPr>
            <w:r w:rsidRPr="00704D58">
              <w:t>W:0·38</w:t>
            </w:r>
          </w:p>
        </w:tc>
        <w:tc>
          <w:tcPr>
            <w:tcW w:w="1827" w:type="dxa"/>
            <w:hideMark/>
          </w:tcPr>
          <w:p w:rsidR="00442CA7" w:rsidRPr="00704D58" w:rsidRDefault="00442CA7">
            <w:pPr>
              <w:spacing w:after="0" w:line="480" w:lineRule="auto"/>
              <w:jc w:val="center"/>
            </w:pPr>
            <w:r w:rsidRPr="00704D58">
              <w:t>-0·01 (-0·02 to 0·01), p=0·62</w:t>
            </w:r>
          </w:p>
        </w:tc>
        <w:tc>
          <w:tcPr>
            <w:tcW w:w="2000" w:type="dxa"/>
            <w:hideMark/>
          </w:tcPr>
          <w:p w:rsidR="00442CA7" w:rsidRPr="00704D58" w:rsidRDefault="00442CA7">
            <w:pPr>
              <w:spacing w:after="0" w:line="480" w:lineRule="auto"/>
              <w:jc w:val="center"/>
            </w:pPr>
            <w:r w:rsidRPr="00704D58">
              <w:t>-0·02 (-0·05 to 0·01), p=0·18</w:t>
            </w:r>
          </w:p>
        </w:tc>
        <w:tc>
          <w:tcPr>
            <w:tcW w:w="992" w:type="dxa"/>
            <w:hideMark/>
          </w:tcPr>
          <w:p w:rsidR="00442CA7" w:rsidRDefault="00442CA7">
            <w:pPr>
              <w:spacing w:after="0" w:line="480" w:lineRule="auto"/>
              <w:jc w:val="center"/>
            </w:pPr>
            <w:r>
              <w:t>S:</w:t>
            </w:r>
            <w:r>
              <w:rPr>
                <w:vertAlign w:val="superscript"/>
              </w:rPr>
              <w:t xml:space="preserve"> £</w:t>
            </w:r>
          </w:p>
          <w:p w:rsidR="00442CA7" w:rsidRDefault="00442CA7">
            <w:pPr>
              <w:spacing w:after="0" w:line="480" w:lineRule="auto"/>
              <w:jc w:val="center"/>
            </w:pPr>
            <w:r>
              <w:t>W:0·53</w:t>
            </w:r>
          </w:p>
        </w:tc>
      </w:tr>
      <w:tr w:rsidR="00442CA7" w:rsidTr="004220DB">
        <w:tc>
          <w:tcPr>
            <w:tcW w:w="2835" w:type="dxa"/>
            <w:tcBorders>
              <w:top w:val="nil"/>
              <w:left w:val="nil"/>
              <w:bottom w:val="single" w:sz="4" w:space="0" w:color="auto"/>
              <w:right w:val="nil"/>
            </w:tcBorders>
            <w:hideMark/>
          </w:tcPr>
          <w:p w:rsidR="00442CA7" w:rsidRDefault="00442CA7">
            <w:pPr>
              <w:spacing w:after="0" w:line="480" w:lineRule="auto"/>
            </w:pPr>
            <w:r>
              <w:t>Proportion of patients with any adverse event</w:t>
            </w:r>
          </w:p>
        </w:tc>
        <w:tc>
          <w:tcPr>
            <w:tcW w:w="1843" w:type="dxa"/>
            <w:tcBorders>
              <w:top w:val="nil"/>
              <w:left w:val="nil"/>
              <w:bottom w:val="single" w:sz="4" w:space="0" w:color="auto"/>
              <w:right w:val="nil"/>
            </w:tcBorders>
            <w:hideMark/>
          </w:tcPr>
          <w:p w:rsidR="00442CA7" w:rsidRPr="00704D58" w:rsidRDefault="00442CA7">
            <w:pPr>
              <w:spacing w:after="0" w:line="480" w:lineRule="auto"/>
              <w:jc w:val="center"/>
            </w:pPr>
            <w:r w:rsidRPr="00704D58">
              <w:t>0·01 (-0·01 to 0·03), p=0·33</w:t>
            </w:r>
          </w:p>
        </w:tc>
        <w:tc>
          <w:tcPr>
            <w:tcW w:w="1985" w:type="dxa"/>
            <w:tcBorders>
              <w:top w:val="nil"/>
              <w:left w:val="nil"/>
              <w:bottom w:val="single" w:sz="4" w:space="0" w:color="auto"/>
              <w:right w:val="nil"/>
            </w:tcBorders>
            <w:hideMark/>
          </w:tcPr>
          <w:p w:rsidR="00442CA7" w:rsidRPr="00704D58" w:rsidRDefault="00442CA7">
            <w:pPr>
              <w:spacing w:after="0" w:line="480" w:lineRule="auto"/>
              <w:jc w:val="center"/>
            </w:pPr>
            <w:r w:rsidRPr="00704D58">
              <w:t>-0·02 (-0·04 to 0·01), p=0·15</w:t>
            </w:r>
          </w:p>
        </w:tc>
        <w:tc>
          <w:tcPr>
            <w:tcW w:w="1134" w:type="dxa"/>
            <w:tcBorders>
              <w:top w:val="nil"/>
              <w:left w:val="nil"/>
              <w:bottom w:val="single" w:sz="4" w:space="0" w:color="auto"/>
              <w:right w:val="nil"/>
            </w:tcBorders>
            <w:hideMark/>
          </w:tcPr>
          <w:p w:rsidR="00442CA7" w:rsidRPr="00704D58" w:rsidRDefault="00442CA7">
            <w:pPr>
              <w:spacing w:after="0" w:line="480" w:lineRule="auto"/>
              <w:jc w:val="center"/>
            </w:pPr>
            <w:r w:rsidRPr="00704D58">
              <w:t>S:</w:t>
            </w:r>
            <w:r w:rsidRPr="00704D58">
              <w:rPr>
                <w:vertAlign w:val="superscript"/>
              </w:rPr>
              <w:t xml:space="preserve"> £</w:t>
            </w:r>
          </w:p>
          <w:p w:rsidR="00442CA7" w:rsidRPr="00704D58" w:rsidRDefault="00442CA7">
            <w:pPr>
              <w:spacing w:after="0" w:line="480" w:lineRule="auto"/>
              <w:jc w:val="center"/>
            </w:pPr>
            <w:r w:rsidRPr="00704D58">
              <w:t>W:0·71</w:t>
            </w:r>
          </w:p>
        </w:tc>
        <w:tc>
          <w:tcPr>
            <w:tcW w:w="1827" w:type="dxa"/>
            <w:tcBorders>
              <w:top w:val="nil"/>
              <w:left w:val="nil"/>
              <w:bottom w:val="single" w:sz="4" w:space="0" w:color="auto"/>
              <w:right w:val="nil"/>
            </w:tcBorders>
            <w:hideMark/>
          </w:tcPr>
          <w:p w:rsidR="00442CA7" w:rsidRPr="00704D58" w:rsidRDefault="0006092E" w:rsidP="0006092E">
            <w:pPr>
              <w:spacing w:after="0" w:line="480" w:lineRule="auto"/>
              <w:jc w:val="center"/>
            </w:pPr>
            <w:r w:rsidRPr="00704D58">
              <w:t>-0·02</w:t>
            </w:r>
            <w:r w:rsidR="00442CA7" w:rsidRPr="00704D58">
              <w:t xml:space="preserve"> (-0·0</w:t>
            </w:r>
            <w:r w:rsidRPr="00704D58">
              <w:t>4</w:t>
            </w:r>
            <w:r w:rsidR="00442CA7" w:rsidRPr="00704D58">
              <w:t xml:space="preserve"> to -0·00), p=0·</w:t>
            </w:r>
            <w:r w:rsidRPr="00704D58">
              <w:t>11</w:t>
            </w:r>
          </w:p>
        </w:tc>
        <w:tc>
          <w:tcPr>
            <w:tcW w:w="2000" w:type="dxa"/>
            <w:tcBorders>
              <w:top w:val="nil"/>
              <w:left w:val="nil"/>
              <w:bottom w:val="single" w:sz="4" w:space="0" w:color="auto"/>
              <w:right w:val="nil"/>
            </w:tcBorders>
            <w:hideMark/>
          </w:tcPr>
          <w:p w:rsidR="00442CA7" w:rsidRPr="00704D58" w:rsidRDefault="0006092E" w:rsidP="0006092E">
            <w:pPr>
              <w:spacing w:after="0" w:line="480" w:lineRule="auto"/>
              <w:jc w:val="center"/>
            </w:pPr>
            <w:r w:rsidRPr="00704D58">
              <w:t>0·04</w:t>
            </w:r>
            <w:r w:rsidR="00442CA7" w:rsidRPr="00704D58">
              <w:t xml:space="preserve"> (</w:t>
            </w:r>
            <w:r w:rsidRPr="00704D58">
              <w:t>0·01 to 0·07</w:t>
            </w:r>
            <w:r w:rsidR="00442CA7" w:rsidRPr="00704D58">
              <w:t>), p=0·</w:t>
            </w:r>
            <w:r w:rsidRPr="00704D58">
              <w:t>01</w:t>
            </w:r>
          </w:p>
        </w:tc>
        <w:tc>
          <w:tcPr>
            <w:tcW w:w="992" w:type="dxa"/>
            <w:tcBorders>
              <w:top w:val="nil"/>
              <w:left w:val="nil"/>
              <w:bottom w:val="single" w:sz="4" w:space="0" w:color="auto"/>
              <w:right w:val="nil"/>
            </w:tcBorders>
            <w:hideMark/>
          </w:tcPr>
          <w:p w:rsidR="00442CA7" w:rsidRDefault="00442CA7">
            <w:pPr>
              <w:spacing w:after="0" w:line="480" w:lineRule="auto"/>
              <w:jc w:val="center"/>
            </w:pPr>
            <w:r>
              <w:t>S:</w:t>
            </w:r>
            <w:r>
              <w:rPr>
                <w:vertAlign w:val="superscript"/>
              </w:rPr>
              <w:t xml:space="preserve"> £</w:t>
            </w:r>
          </w:p>
          <w:p w:rsidR="00442CA7" w:rsidRDefault="00442CA7" w:rsidP="0006092E">
            <w:pPr>
              <w:spacing w:after="0" w:line="480" w:lineRule="auto"/>
              <w:jc w:val="center"/>
            </w:pPr>
            <w:r>
              <w:t>W:0·</w:t>
            </w:r>
            <w:r w:rsidR="0006092E">
              <w:t>66</w:t>
            </w:r>
          </w:p>
        </w:tc>
      </w:tr>
      <w:tr w:rsidR="00442CA7" w:rsidTr="004220DB">
        <w:tc>
          <w:tcPr>
            <w:tcW w:w="2835" w:type="dxa"/>
            <w:tcBorders>
              <w:top w:val="single" w:sz="4" w:space="0" w:color="auto"/>
              <w:left w:val="nil"/>
              <w:bottom w:val="nil"/>
              <w:right w:val="nil"/>
            </w:tcBorders>
            <w:hideMark/>
          </w:tcPr>
          <w:p w:rsidR="00442CA7" w:rsidRDefault="00442CA7">
            <w:pPr>
              <w:spacing w:after="0" w:line="480" w:lineRule="auto"/>
              <w:rPr>
                <w:b/>
                <w:bCs/>
              </w:rPr>
            </w:pPr>
            <w:r>
              <w:rPr>
                <w:b/>
                <w:bCs/>
              </w:rPr>
              <w:t>Secondary</w:t>
            </w:r>
          </w:p>
        </w:tc>
        <w:tc>
          <w:tcPr>
            <w:tcW w:w="1843" w:type="dxa"/>
            <w:tcBorders>
              <w:top w:val="single" w:sz="4" w:space="0" w:color="auto"/>
              <w:left w:val="nil"/>
              <w:bottom w:val="nil"/>
              <w:right w:val="nil"/>
            </w:tcBorders>
          </w:tcPr>
          <w:p w:rsidR="00442CA7" w:rsidRPr="00704D58" w:rsidRDefault="00442CA7">
            <w:pPr>
              <w:spacing w:after="0" w:line="480" w:lineRule="auto"/>
              <w:jc w:val="center"/>
            </w:pPr>
          </w:p>
        </w:tc>
        <w:tc>
          <w:tcPr>
            <w:tcW w:w="1985" w:type="dxa"/>
            <w:tcBorders>
              <w:top w:val="single" w:sz="4" w:space="0" w:color="auto"/>
              <w:left w:val="nil"/>
              <w:bottom w:val="nil"/>
              <w:right w:val="nil"/>
            </w:tcBorders>
          </w:tcPr>
          <w:p w:rsidR="00442CA7" w:rsidRPr="00704D58" w:rsidRDefault="00442CA7">
            <w:pPr>
              <w:spacing w:after="0" w:line="480" w:lineRule="auto"/>
              <w:jc w:val="center"/>
            </w:pPr>
          </w:p>
        </w:tc>
        <w:tc>
          <w:tcPr>
            <w:tcW w:w="1134" w:type="dxa"/>
            <w:tcBorders>
              <w:top w:val="single" w:sz="4" w:space="0" w:color="auto"/>
              <w:left w:val="nil"/>
              <w:bottom w:val="nil"/>
              <w:right w:val="nil"/>
            </w:tcBorders>
          </w:tcPr>
          <w:p w:rsidR="00442CA7" w:rsidRPr="00704D58" w:rsidRDefault="00442CA7">
            <w:pPr>
              <w:spacing w:after="0" w:line="480" w:lineRule="auto"/>
              <w:jc w:val="center"/>
            </w:pPr>
          </w:p>
        </w:tc>
        <w:tc>
          <w:tcPr>
            <w:tcW w:w="1827" w:type="dxa"/>
            <w:tcBorders>
              <w:top w:val="single" w:sz="4" w:space="0" w:color="auto"/>
              <w:left w:val="nil"/>
              <w:bottom w:val="nil"/>
              <w:right w:val="nil"/>
            </w:tcBorders>
          </w:tcPr>
          <w:p w:rsidR="00442CA7" w:rsidRPr="00704D58" w:rsidRDefault="00442CA7">
            <w:pPr>
              <w:spacing w:after="0" w:line="480" w:lineRule="auto"/>
              <w:jc w:val="center"/>
            </w:pPr>
          </w:p>
        </w:tc>
        <w:tc>
          <w:tcPr>
            <w:tcW w:w="2000" w:type="dxa"/>
            <w:tcBorders>
              <w:top w:val="single" w:sz="4" w:space="0" w:color="auto"/>
              <w:left w:val="nil"/>
              <w:bottom w:val="nil"/>
              <w:right w:val="nil"/>
            </w:tcBorders>
          </w:tcPr>
          <w:p w:rsidR="00442CA7" w:rsidRPr="00704D58" w:rsidRDefault="00442CA7">
            <w:pPr>
              <w:spacing w:after="0" w:line="480" w:lineRule="auto"/>
              <w:jc w:val="center"/>
            </w:pPr>
          </w:p>
        </w:tc>
        <w:tc>
          <w:tcPr>
            <w:tcW w:w="992" w:type="dxa"/>
            <w:tcBorders>
              <w:top w:val="single" w:sz="4" w:space="0" w:color="auto"/>
              <w:left w:val="nil"/>
              <w:bottom w:val="nil"/>
              <w:right w:val="nil"/>
            </w:tcBorders>
          </w:tcPr>
          <w:p w:rsidR="00442CA7" w:rsidRDefault="00442CA7">
            <w:pPr>
              <w:spacing w:after="0" w:line="480" w:lineRule="auto"/>
              <w:jc w:val="center"/>
            </w:pPr>
          </w:p>
        </w:tc>
      </w:tr>
      <w:tr w:rsidR="00442CA7" w:rsidTr="004220DB">
        <w:tc>
          <w:tcPr>
            <w:tcW w:w="2835" w:type="dxa"/>
            <w:hideMark/>
          </w:tcPr>
          <w:p w:rsidR="00442CA7" w:rsidRDefault="00442CA7">
            <w:pPr>
              <w:spacing w:after="0" w:line="480" w:lineRule="auto"/>
            </w:pPr>
            <w:r>
              <w:t>Proportion of patients discharged to aged care:</w:t>
            </w:r>
          </w:p>
        </w:tc>
        <w:tc>
          <w:tcPr>
            <w:tcW w:w="1843" w:type="dxa"/>
            <w:hideMark/>
          </w:tcPr>
          <w:p w:rsidR="00442CA7" w:rsidRPr="00704D58" w:rsidRDefault="00442CA7">
            <w:pPr>
              <w:spacing w:after="0" w:line="480" w:lineRule="auto"/>
              <w:jc w:val="center"/>
            </w:pPr>
            <w:r w:rsidRPr="00704D58">
              <w:t>0·00 (-0·00 to 0·01), p=0·28</w:t>
            </w:r>
          </w:p>
        </w:tc>
        <w:tc>
          <w:tcPr>
            <w:tcW w:w="1985" w:type="dxa"/>
            <w:hideMark/>
          </w:tcPr>
          <w:p w:rsidR="00442CA7" w:rsidRPr="00704D58" w:rsidRDefault="00954C27">
            <w:pPr>
              <w:spacing w:after="0" w:line="480" w:lineRule="auto"/>
              <w:jc w:val="center"/>
            </w:pPr>
            <w:r w:rsidRPr="00704D58">
              <w:t>-0·00 (-0·01 to 0·01), p=0·54</w:t>
            </w:r>
          </w:p>
        </w:tc>
        <w:tc>
          <w:tcPr>
            <w:tcW w:w="1134" w:type="dxa"/>
            <w:hideMark/>
          </w:tcPr>
          <w:p w:rsidR="00442CA7" w:rsidRPr="00704D58" w:rsidRDefault="00954C27">
            <w:pPr>
              <w:spacing w:after="0" w:line="480" w:lineRule="auto"/>
              <w:jc w:val="center"/>
            </w:pPr>
            <w:r w:rsidRPr="00704D58">
              <w:t>S:0·30</w:t>
            </w:r>
          </w:p>
          <w:p w:rsidR="00442CA7" w:rsidRPr="00704D58" w:rsidRDefault="00442CA7">
            <w:pPr>
              <w:spacing w:after="0" w:line="480" w:lineRule="auto"/>
              <w:jc w:val="center"/>
            </w:pPr>
            <w:r w:rsidRPr="00704D58">
              <w:t>W:0·65</w:t>
            </w:r>
          </w:p>
        </w:tc>
        <w:tc>
          <w:tcPr>
            <w:tcW w:w="1827" w:type="dxa"/>
            <w:hideMark/>
          </w:tcPr>
          <w:p w:rsidR="00442CA7" w:rsidRPr="00704D58" w:rsidRDefault="00954C27">
            <w:pPr>
              <w:spacing w:after="0" w:line="480" w:lineRule="auto"/>
              <w:jc w:val="center"/>
            </w:pPr>
            <w:r w:rsidRPr="00704D58">
              <w:t>-0·00 (-0·01 to 0·01), p=0·81</w:t>
            </w:r>
          </w:p>
        </w:tc>
        <w:tc>
          <w:tcPr>
            <w:tcW w:w="2000" w:type="dxa"/>
            <w:hideMark/>
          </w:tcPr>
          <w:p w:rsidR="00442CA7" w:rsidRPr="00704D58" w:rsidRDefault="00954C27">
            <w:pPr>
              <w:spacing w:after="0" w:line="480" w:lineRule="auto"/>
              <w:jc w:val="center"/>
            </w:pPr>
            <w:r w:rsidRPr="00704D58">
              <w:t>0·00 (-0·01 to 0·01), p=0·99</w:t>
            </w:r>
          </w:p>
        </w:tc>
        <w:tc>
          <w:tcPr>
            <w:tcW w:w="992" w:type="dxa"/>
            <w:hideMark/>
          </w:tcPr>
          <w:p w:rsidR="00442CA7" w:rsidRPr="00954C27" w:rsidRDefault="00954C27">
            <w:pPr>
              <w:spacing w:after="0" w:line="480" w:lineRule="auto"/>
              <w:jc w:val="center"/>
            </w:pPr>
            <w:r w:rsidRPr="00954C27">
              <w:t>S: 0·12</w:t>
            </w:r>
          </w:p>
          <w:p w:rsidR="00442CA7" w:rsidRPr="00954C27" w:rsidRDefault="00954C27">
            <w:pPr>
              <w:spacing w:after="0" w:line="480" w:lineRule="auto"/>
              <w:jc w:val="center"/>
            </w:pPr>
            <w:r w:rsidRPr="00954C27">
              <w:t>W:0·62</w:t>
            </w:r>
          </w:p>
        </w:tc>
      </w:tr>
      <w:tr w:rsidR="00442CA7" w:rsidTr="004220DB">
        <w:tc>
          <w:tcPr>
            <w:tcW w:w="2835" w:type="dxa"/>
            <w:hideMark/>
          </w:tcPr>
          <w:p w:rsidR="00442CA7" w:rsidRDefault="00442CA7">
            <w:pPr>
              <w:spacing w:after="0" w:line="480" w:lineRule="auto"/>
            </w:pPr>
            <w:r>
              <w:t xml:space="preserve">Cost to the health care system per admission </w:t>
            </w:r>
          </w:p>
        </w:tc>
        <w:tc>
          <w:tcPr>
            <w:tcW w:w="1843" w:type="dxa"/>
            <w:hideMark/>
          </w:tcPr>
          <w:p w:rsidR="00442CA7" w:rsidRPr="00704D58" w:rsidRDefault="00442CA7">
            <w:pPr>
              <w:spacing w:after="0" w:line="480" w:lineRule="auto"/>
              <w:jc w:val="center"/>
            </w:pPr>
            <w:r w:rsidRPr="00704D58">
              <w:t>1810 (1094 to 2525), p&lt;0·001</w:t>
            </w:r>
          </w:p>
        </w:tc>
        <w:tc>
          <w:tcPr>
            <w:tcW w:w="1985" w:type="dxa"/>
            <w:hideMark/>
          </w:tcPr>
          <w:p w:rsidR="00442CA7" w:rsidRPr="00704D58" w:rsidRDefault="00442CA7">
            <w:pPr>
              <w:spacing w:after="0" w:line="480" w:lineRule="auto"/>
              <w:jc w:val="center"/>
            </w:pPr>
            <w:r w:rsidRPr="00704D58">
              <w:t>769 (-168 to 1706), p=0·11</w:t>
            </w:r>
          </w:p>
        </w:tc>
        <w:tc>
          <w:tcPr>
            <w:tcW w:w="1134" w:type="dxa"/>
            <w:hideMark/>
          </w:tcPr>
          <w:p w:rsidR="00442CA7" w:rsidRPr="00704D58" w:rsidRDefault="00442CA7">
            <w:pPr>
              <w:spacing w:after="0" w:line="480" w:lineRule="auto"/>
              <w:jc w:val="center"/>
            </w:pPr>
            <w:r w:rsidRPr="00704D58">
              <w:t>S:</w:t>
            </w:r>
            <w:r w:rsidRPr="00704D58">
              <w:rPr>
                <w:vertAlign w:val="superscript"/>
              </w:rPr>
              <w:t xml:space="preserve"> £</w:t>
            </w:r>
          </w:p>
          <w:p w:rsidR="00442CA7" w:rsidRPr="00704D58" w:rsidRDefault="00442CA7">
            <w:pPr>
              <w:spacing w:after="0" w:line="480" w:lineRule="auto"/>
              <w:jc w:val="center"/>
            </w:pPr>
            <w:r w:rsidRPr="00704D58">
              <w:t>W:0·013</w:t>
            </w:r>
          </w:p>
          <w:p w:rsidR="00442CA7" w:rsidRPr="00704D58" w:rsidRDefault="00442CA7">
            <w:pPr>
              <w:spacing w:after="0" w:line="480" w:lineRule="auto"/>
              <w:jc w:val="center"/>
            </w:pPr>
            <w:r w:rsidRPr="00704D58">
              <w:t>E:0·76</w:t>
            </w:r>
          </w:p>
        </w:tc>
        <w:tc>
          <w:tcPr>
            <w:tcW w:w="1827" w:type="dxa"/>
            <w:hideMark/>
          </w:tcPr>
          <w:p w:rsidR="00442CA7" w:rsidRPr="00704D58" w:rsidRDefault="00442CA7">
            <w:pPr>
              <w:spacing w:after="0" w:line="480" w:lineRule="auto"/>
              <w:jc w:val="center"/>
            </w:pPr>
            <w:r w:rsidRPr="00704D58">
              <w:t>-2431 (-3166 to -1696), p&lt;0·001</w:t>
            </w:r>
            <w:r w:rsidRPr="00704D58">
              <w:rPr>
                <w:vertAlign w:val="superscript"/>
              </w:rPr>
              <w:t>€</w:t>
            </w:r>
          </w:p>
        </w:tc>
        <w:tc>
          <w:tcPr>
            <w:tcW w:w="2000" w:type="dxa"/>
            <w:hideMark/>
          </w:tcPr>
          <w:p w:rsidR="00442CA7" w:rsidRPr="00704D58" w:rsidRDefault="00442CA7">
            <w:pPr>
              <w:spacing w:after="0" w:line="480" w:lineRule="auto"/>
              <w:jc w:val="center"/>
            </w:pPr>
            <w:r w:rsidRPr="00704D58">
              <w:t>-163 (-1273 to 947), p=0·77</w:t>
            </w:r>
          </w:p>
        </w:tc>
        <w:tc>
          <w:tcPr>
            <w:tcW w:w="992" w:type="dxa"/>
            <w:hideMark/>
          </w:tcPr>
          <w:p w:rsidR="00442CA7" w:rsidRPr="00954C27" w:rsidRDefault="00442CA7">
            <w:pPr>
              <w:spacing w:after="0" w:line="480" w:lineRule="auto"/>
              <w:jc w:val="center"/>
            </w:pPr>
            <w:r w:rsidRPr="00954C27">
              <w:t>S:</w:t>
            </w:r>
            <w:r w:rsidRPr="00954C27">
              <w:rPr>
                <w:vertAlign w:val="superscript"/>
              </w:rPr>
              <w:t xml:space="preserve"> £</w:t>
            </w:r>
          </w:p>
          <w:p w:rsidR="00442CA7" w:rsidRPr="00954C27" w:rsidRDefault="00442CA7">
            <w:pPr>
              <w:spacing w:after="0" w:line="480" w:lineRule="auto"/>
              <w:jc w:val="center"/>
            </w:pPr>
            <w:r w:rsidRPr="00954C27">
              <w:t>W:0·005</w:t>
            </w:r>
          </w:p>
          <w:p w:rsidR="00442CA7" w:rsidRPr="00954C27" w:rsidRDefault="00442CA7">
            <w:pPr>
              <w:spacing w:after="0" w:line="480" w:lineRule="auto"/>
              <w:jc w:val="center"/>
            </w:pPr>
            <w:r w:rsidRPr="00954C27">
              <w:t>E:0·88</w:t>
            </w:r>
          </w:p>
        </w:tc>
      </w:tr>
      <w:tr w:rsidR="00442CA7" w:rsidTr="004220DB">
        <w:tc>
          <w:tcPr>
            <w:tcW w:w="2835" w:type="dxa"/>
            <w:tcBorders>
              <w:top w:val="nil"/>
              <w:left w:val="nil"/>
              <w:bottom w:val="single" w:sz="4" w:space="0" w:color="auto"/>
              <w:right w:val="nil"/>
            </w:tcBorders>
            <w:hideMark/>
          </w:tcPr>
          <w:p w:rsidR="00442CA7" w:rsidRDefault="00442CA7">
            <w:pPr>
              <w:spacing w:after="0" w:line="480" w:lineRule="auto"/>
            </w:pPr>
            <w:r>
              <w:t>Proportion of patients discharged on a Saturday or Sunday</w:t>
            </w:r>
          </w:p>
        </w:tc>
        <w:tc>
          <w:tcPr>
            <w:tcW w:w="1843" w:type="dxa"/>
            <w:tcBorders>
              <w:top w:val="nil"/>
              <w:left w:val="nil"/>
              <w:bottom w:val="single" w:sz="4" w:space="0" w:color="auto"/>
              <w:right w:val="nil"/>
            </w:tcBorders>
            <w:hideMark/>
          </w:tcPr>
          <w:p w:rsidR="00442CA7" w:rsidRPr="00704D58" w:rsidRDefault="00442CA7">
            <w:pPr>
              <w:spacing w:after="0" w:line="480" w:lineRule="auto"/>
              <w:jc w:val="center"/>
            </w:pPr>
            <w:r w:rsidRPr="00704D58">
              <w:t>0.01 (-0.01 to 0.03), p=0.33</w:t>
            </w:r>
          </w:p>
        </w:tc>
        <w:tc>
          <w:tcPr>
            <w:tcW w:w="1985" w:type="dxa"/>
            <w:tcBorders>
              <w:top w:val="nil"/>
              <w:left w:val="nil"/>
              <w:bottom w:val="single" w:sz="4" w:space="0" w:color="auto"/>
              <w:right w:val="nil"/>
            </w:tcBorders>
            <w:hideMark/>
          </w:tcPr>
          <w:p w:rsidR="00442CA7" w:rsidRPr="00704D58" w:rsidRDefault="00442CA7">
            <w:pPr>
              <w:spacing w:after="0" w:line="480" w:lineRule="auto"/>
              <w:jc w:val="center"/>
            </w:pPr>
            <w:r w:rsidRPr="00704D58">
              <w:t>0.02 (-0.01 to 0.05), p=0.24</w:t>
            </w:r>
          </w:p>
        </w:tc>
        <w:tc>
          <w:tcPr>
            <w:tcW w:w="1134" w:type="dxa"/>
            <w:tcBorders>
              <w:top w:val="nil"/>
              <w:left w:val="nil"/>
              <w:bottom w:val="single" w:sz="4" w:space="0" w:color="auto"/>
              <w:right w:val="nil"/>
            </w:tcBorders>
          </w:tcPr>
          <w:p w:rsidR="00442CA7" w:rsidRPr="00704D58" w:rsidRDefault="00442CA7">
            <w:pPr>
              <w:spacing w:after="0" w:line="480" w:lineRule="auto"/>
              <w:jc w:val="center"/>
            </w:pPr>
            <w:r w:rsidRPr="00704D58">
              <w:t>S:</w:t>
            </w:r>
            <w:r w:rsidRPr="00704D58">
              <w:rPr>
                <w:vertAlign w:val="superscript"/>
              </w:rPr>
              <w:t xml:space="preserve"> £</w:t>
            </w:r>
          </w:p>
          <w:p w:rsidR="00442CA7" w:rsidRPr="00704D58" w:rsidRDefault="00442CA7">
            <w:pPr>
              <w:spacing w:after="0" w:line="480" w:lineRule="auto"/>
              <w:jc w:val="center"/>
            </w:pPr>
            <w:r w:rsidRPr="00704D58">
              <w:t>W:0·43</w:t>
            </w:r>
          </w:p>
          <w:p w:rsidR="00442CA7" w:rsidRPr="00704D58" w:rsidRDefault="00442CA7">
            <w:pPr>
              <w:spacing w:after="0" w:line="480" w:lineRule="auto"/>
              <w:jc w:val="center"/>
            </w:pPr>
          </w:p>
        </w:tc>
        <w:tc>
          <w:tcPr>
            <w:tcW w:w="1827" w:type="dxa"/>
            <w:tcBorders>
              <w:top w:val="nil"/>
              <w:left w:val="nil"/>
              <w:bottom w:val="single" w:sz="4" w:space="0" w:color="auto"/>
              <w:right w:val="nil"/>
            </w:tcBorders>
            <w:hideMark/>
          </w:tcPr>
          <w:p w:rsidR="00442CA7" w:rsidRPr="00704D58" w:rsidRDefault="00442CA7">
            <w:pPr>
              <w:spacing w:after="0" w:line="480" w:lineRule="auto"/>
              <w:jc w:val="center"/>
            </w:pPr>
            <w:r w:rsidRPr="00704D58">
              <w:t>-0.02 (-0.05 to -0.00), p=0.03</w:t>
            </w:r>
            <w:r w:rsidRPr="00704D58">
              <w:rPr>
                <w:vertAlign w:val="superscript"/>
              </w:rPr>
              <w:t>€</w:t>
            </w:r>
          </w:p>
        </w:tc>
        <w:tc>
          <w:tcPr>
            <w:tcW w:w="2000" w:type="dxa"/>
            <w:tcBorders>
              <w:top w:val="nil"/>
              <w:left w:val="nil"/>
              <w:bottom w:val="single" w:sz="4" w:space="0" w:color="auto"/>
              <w:right w:val="nil"/>
            </w:tcBorders>
            <w:hideMark/>
          </w:tcPr>
          <w:p w:rsidR="00442CA7" w:rsidRPr="00704D58" w:rsidRDefault="00442CA7">
            <w:pPr>
              <w:spacing w:after="0" w:line="480" w:lineRule="auto"/>
              <w:jc w:val="center"/>
            </w:pPr>
            <w:r w:rsidRPr="00704D58">
              <w:t>-0.01 (-0.04 to 0.02), p=0.69</w:t>
            </w:r>
          </w:p>
        </w:tc>
        <w:tc>
          <w:tcPr>
            <w:tcW w:w="992" w:type="dxa"/>
            <w:tcBorders>
              <w:top w:val="nil"/>
              <w:left w:val="nil"/>
              <w:bottom w:val="single" w:sz="4" w:space="0" w:color="auto"/>
              <w:right w:val="nil"/>
            </w:tcBorders>
          </w:tcPr>
          <w:p w:rsidR="00442CA7" w:rsidRDefault="00442CA7">
            <w:pPr>
              <w:spacing w:after="0" w:line="480" w:lineRule="auto"/>
              <w:jc w:val="center"/>
            </w:pPr>
            <w:r>
              <w:t>S:</w:t>
            </w:r>
            <w:r>
              <w:rPr>
                <w:vertAlign w:val="superscript"/>
              </w:rPr>
              <w:t xml:space="preserve"> £</w:t>
            </w:r>
          </w:p>
          <w:p w:rsidR="00442CA7" w:rsidRDefault="00442CA7">
            <w:pPr>
              <w:spacing w:after="0" w:line="480" w:lineRule="auto"/>
              <w:jc w:val="center"/>
            </w:pPr>
            <w:r>
              <w:t>W:0·47</w:t>
            </w:r>
          </w:p>
          <w:p w:rsidR="00442CA7" w:rsidRDefault="00442CA7">
            <w:pPr>
              <w:spacing w:after="0" w:line="480" w:lineRule="auto"/>
              <w:jc w:val="center"/>
            </w:pPr>
          </w:p>
        </w:tc>
      </w:tr>
    </w:tbl>
    <w:p w:rsidR="00442CA7" w:rsidRDefault="00442CA7" w:rsidP="00442CA7">
      <w:pPr>
        <w:spacing w:after="0" w:line="480" w:lineRule="auto"/>
      </w:pPr>
      <w:r>
        <w:t>*ICCs derived from mixed effects generalized linear models partitioned at the site level (S), ward (W), +/- patient episode (E) levels.</w:t>
      </w:r>
    </w:p>
    <w:p w:rsidR="00442CA7" w:rsidRDefault="00442CA7" w:rsidP="00442CA7">
      <w:pPr>
        <w:spacing w:after="0" w:line="480" w:lineRule="auto"/>
      </w:pPr>
      <w:r>
        <w:rPr>
          <w:vertAlign w:val="superscript"/>
        </w:rPr>
        <w:t xml:space="preserve">£  </w:t>
      </w:r>
      <w:r>
        <w:t>Denotes ICC values less than 0·0001.</w:t>
      </w:r>
    </w:p>
    <w:p w:rsidR="00442CA7" w:rsidRDefault="00442CA7" w:rsidP="00442CA7">
      <w:pPr>
        <w:spacing w:after="0" w:line="480" w:lineRule="auto"/>
        <w:rPr>
          <w:vertAlign w:val="superscript"/>
        </w:rPr>
      </w:pPr>
      <w:r>
        <w:rPr>
          <w:vertAlign w:val="superscript"/>
        </w:rPr>
        <w:t xml:space="preserve">€ </w:t>
      </w:r>
      <w:r>
        <w:t xml:space="preserve"> Denotes statistical significance (two tailed p&lt;0·05)</w:t>
      </w:r>
    </w:p>
    <w:p w:rsidR="00180428" w:rsidRDefault="00180428"/>
    <w:sectPr w:rsidR="00180428" w:rsidSect="00442C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A7"/>
    <w:rsid w:val="00046EF3"/>
    <w:rsid w:val="0006092E"/>
    <w:rsid w:val="00180428"/>
    <w:rsid w:val="004220DB"/>
    <w:rsid w:val="00442CA7"/>
    <w:rsid w:val="0058515A"/>
    <w:rsid w:val="00704D58"/>
    <w:rsid w:val="008E40D7"/>
    <w:rsid w:val="00920A34"/>
    <w:rsid w:val="00954C27"/>
    <w:rsid w:val="009C5838"/>
    <w:rsid w:val="00A952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9E1E"/>
  <w15:chartTrackingRefBased/>
  <w15:docId w15:val="{2E408ADA-E1DF-40B3-82F8-F090E2FD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C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Haines</dc:creator>
  <cp:keywords/>
  <dc:description/>
  <cp:lastModifiedBy>Rebecca Green</cp:lastModifiedBy>
  <cp:revision>5</cp:revision>
  <dcterms:created xsi:type="dcterms:W3CDTF">2017-07-31T20:50:00Z</dcterms:created>
  <dcterms:modified xsi:type="dcterms:W3CDTF">2017-09-18T17:02:00Z</dcterms:modified>
</cp:coreProperties>
</file>