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2720D" w14:textId="77777777" w:rsidR="00E22DB2" w:rsidRDefault="00E22DB2" w:rsidP="00E22DB2">
      <w:pPr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S4 Table</w:t>
      </w:r>
      <w:r w:rsidRPr="001D2AF7">
        <w:rPr>
          <w:rFonts w:ascii="Calibri" w:eastAsia="Times New Roman" w:hAnsi="Calibri" w:cs="Times New Roman"/>
          <w:b/>
          <w:bCs/>
          <w:color w:val="000000"/>
        </w:rPr>
        <w:t xml:space="preserve">: </w:t>
      </w:r>
      <w:r w:rsidR="006725E6">
        <w:rPr>
          <w:rFonts w:ascii="Calibri" w:eastAsia="Times New Roman" w:hAnsi="Calibri" w:cs="Times New Roman"/>
          <w:b/>
          <w:bCs/>
          <w:color w:val="000000"/>
        </w:rPr>
        <w:t>Cox Proportional Hazard model sensitivity analyses</w:t>
      </w:r>
    </w:p>
    <w:tbl>
      <w:tblPr>
        <w:tblW w:w="7920" w:type="dxa"/>
        <w:tblInd w:w="103" w:type="dxa"/>
        <w:tblLook w:val="04A0" w:firstRow="1" w:lastRow="0" w:firstColumn="1" w:lastColumn="0" w:noHBand="0" w:noVBand="1"/>
      </w:tblPr>
      <w:tblGrid>
        <w:gridCol w:w="2680"/>
        <w:gridCol w:w="1440"/>
        <w:gridCol w:w="1140"/>
        <w:gridCol w:w="1480"/>
        <w:gridCol w:w="1180"/>
      </w:tblGrid>
      <w:tr w:rsidR="00E22DB2" w:rsidRPr="00D211A5" w14:paraId="4713E048" w14:textId="77777777" w:rsidTr="00D22B66">
        <w:trPr>
          <w:trHeight w:val="12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0EB2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6C8C9" w14:textId="43DB9984" w:rsidR="00E22DB2" w:rsidRPr="00D211A5" w:rsidRDefault="006725E6" w:rsidP="005B08B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Complete case analysis</w:t>
            </w:r>
            <w:r w:rsidR="005B08B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E22DB2"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(</w:t>
            </w:r>
            <w:r w:rsidR="00E22DB2" w:rsidRPr="008170DD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 w:rsidR="00E22DB2"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=21,716)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*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1A641" w14:textId="77777777" w:rsidR="00E22DB2" w:rsidRPr="00D211A5" w:rsidRDefault="006725E6" w:rsidP="00D22B6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National identification numbers only (imputed) </w:t>
            </w:r>
            <w:r w:rsidR="00E22DB2"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(</w:t>
            </w:r>
            <w:r w:rsidR="00E22DB2" w:rsidRPr="008170DD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n</w:t>
            </w:r>
            <w:r w:rsidR="00E22DB2"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=21,216)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**</w:t>
            </w:r>
          </w:p>
        </w:tc>
      </w:tr>
      <w:tr w:rsidR="00E22DB2" w:rsidRPr="00D211A5" w14:paraId="3FE4A5A8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900DBC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BCE80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Hazard Ratio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DB8DF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95% 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A41F1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Hazard Ratio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08901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95% CI</w:t>
            </w:r>
          </w:p>
        </w:tc>
      </w:tr>
      <w:tr w:rsidR="00E22DB2" w:rsidRPr="00D211A5" w14:paraId="320AA2BC" w14:textId="77777777" w:rsidTr="00D22B66">
        <w:trPr>
          <w:trHeight w:val="300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1B40402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</w:rPr>
              <w:t>Age category</w:t>
            </w:r>
          </w:p>
        </w:tc>
      </w:tr>
      <w:tr w:rsidR="00E22DB2" w:rsidRPr="00D211A5" w14:paraId="6D9CC13D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D040" w14:textId="00444E20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</w:rPr>
            </w:pPr>
            <w:r w:rsidRPr="00D211A5">
              <w:rPr>
                <w:rFonts w:ascii="Calibri" w:eastAsia="Times New Roman" w:hAnsi="Calibri" w:cs="Times New Roman"/>
                <w:i/>
                <w:iCs/>
              </w:rPr>
              <w:t>10-20 y</w:t>
            </w:r>
            <w:r w:rsidR="008170DD">
              <w:rPr>
                <w:rFonts w:ascii="Calibri" w:eastAsia="Times New Roman" w:hAnsi="Calibri" w:cs="Times New Roman"/>
                <w:i/>
                <w:iCs/>
              </w:rPr>
              <w:t>ea</w:t>
            </w:r>
            <w:r w:rsidRPr="00D211A5">
              <w:rPr>
                <w:rFonts w:ascii="Calibri" w:eastAsia="Times New Roman" w:hAnsi="Calibri" w:cs="Times New Roman"/>
                <w:i/>
                <w:iCs/>
              </w:rPr>
              <w:t>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0BCF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AE89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1.09 - 1.61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894C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2.06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060C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1.77 - 2.40</w:t>
            </w:r>
          </w:p>
        </w:tc>
      </w:tr>
      <w:tr w:rsidR="00E22DB2" w:rsidRPr="00D211A5" w14:paraId="122B21AC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3AEB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</w:rPr>
            </w:pPr>
            <w:r w:rsidRPr="00D211A5">
              <w:rPr>
                <w:rFonts w:ascii="Calibri" w:eastAsia="Times New Roman" w:hAnsi="Calibri" w:cs="Times New Roman"/>
                <w:i/>
                <w:iCs/>
              </w:rPr>
              <w:t>20-30 yrs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29A8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D52C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1.42 - 1.66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A2DE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0D18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1.38 - 1.57</w:t>
            </w:r>
          </w:p>
        </w:tc>
      </w:tr>
      <w:tr w:rsidR="00E22DB2" w:rsidRPr="00D211A5" w14:paraId="240664D3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6FB2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</w:rPr>
            </w:pPr>
            <w:r w:rsidRPr="00D211A5">
              <w:rPr>
                <w:rFonts w:ascii="Calibri" w:eastAsia="Times New Roman" w:hAnsi="Calibri" w:cs="Times New Roman"/>
                <w:i/>
                <w:iCs/>
              </w:rPr>
              <w:t>30-40 yrs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B995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72A1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5ABD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CCBD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</w:tr>
      <w:tr w:rsidR="00E22DB2" w:rsidRPr="00D211A5" w14:paraId="7AE22589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B75D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</w:rPr>
            </w:pPr>
            <w:r w:rsidRPr="00D211A5">
              <w:rPr>
                <w:rFonts w:ascii="Calibri" w:eastAsia="Times New Roman" w:hAnsi="Calibri" w:cs="Times New Roman"/>
                <w:i/>
                <w:iCs/>
              </w:rPr>
              <w:t>40-50 yrs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33EB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7CA4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0.84 - 1.00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50E2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B583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0.86 - 1.01</w:t>
            </w:r>
          </w:p>
        </w:tc>
      </w:tr>
      <w:tr w:rsidR="00E22DB2" w:rsidRPr="00D211A5" w14:paraId="32D842DB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F124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</w:rPr>
            </w:pPr>
            <w:r w:rsidRPr="00D211A5">
              <w:rPr>
                <w:rFonts w:ascii="Calibri" w:eastAsia="Times New Roman" w:hAnsi="Calibri" w:cs="Times New Roman"/>
                <w:i/>
                <w:iCs/>
              </w:rPr>
              <w:t>50-60 yrs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D7C1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F39C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0.73 - 0.97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821C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4F3B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0.78 - 1.02</w:t>
            </w:r>
          </w:p>
        </w:tc>
      </w:tr>
      <w:tr w:rsidR="00E22DB2" w:rsidRPr="00D211A5" w14:paraId="66A4EE31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9CC8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</w:rPr>
            </w:pPr>
            <w:r w:rsidRPr="00D211A5">
              <w:rPr>
                <w:rFonts w:ascii="Calibri" w:eastAsia="Times New Roman" w:hAnsi="Calibri" w:cs="Times New Roman"/>
                <w:i/>
                <w:iCs/>
              </w:rPr>
              <w:t>&gt;60 yrs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7A9A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2689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0.68- 1.22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1F46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A18A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0.84 - 1.41</w:t>
            </w:r>
          </w:p>
        </w:tc>
      </w:tr>
      <w:tr w:rsidR="00E22DB2" w:rsidRPr="00D211A5" w14:paraId="613A8A9D" w14:textId="77777777" w:rsidTr="00D22B66">
        <w:trPr>
          <w:trHeight w:val="300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052BD71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Sex / pregnancy</w:t>
            </w:r>
          </w:p>
        </w:tc>
      </w:tr>
      <w:tr w:rsidR="00E22DB2" w:rsidRPr="00D211A5" w14:paraId="2B451A7C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9ED3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i/>
                <w:iCs/>
                <w:color w:val="000000"/>
              </w:rPr>
              <w:t>Non-pregnant women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CCCE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F7F8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A59C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1435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</w:tr>
      <w:tr w:rsidR="00E22DB2" w:rsidRPr="00D211A5" w14:paraId="444BC5DD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C9D0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i/>
                <w:iCs/>
                <w:color w:val="000000"/>
              </w:rPr>
              <w:t>Pregnant women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DDF7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4FC8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1.44 - 1.80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79A8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FF3F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1.39 - 1.64</w:t>
            </w:r>
          </w:p>
        </w:tc>
      </w:tr>
      <w:tr w:rsidR="00E22DB2" w:rsidRPr="00D211A5" w14:paraId="7107C4B1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8F0C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i/>
                <w:iCs/>
                <w:color w:val="000000"/>
              </w:rPr>
              <w:t>Men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838B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5093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1.00 - 1.16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F285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8700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1.07 - 1.22</w:t>
            </w:r>
          </w:p>
        </w:tc>
      </w:tr>
      <w:tr w:rsidR="00E22DB2" w:rsidRPr="00D211A5" w14:paraId="1C14E65A" w14:textId="77777777" w:rsidTr="00D22B66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11B542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TB treatment at ART initiation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81AB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24AE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1.10 - 1.28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23D2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strata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E564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strata</w:t>
            </w:r>
            <w:proofErr w:type="gramEnd"/>
          </w:p>
        </w:tc>
      </w:tr>
      <w:tr w:rsidR="00E22DB2" w:rsidRPr="00D211A5" w14:paraId="4416BB93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D5C6EF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Any transfer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C086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BEA2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0.78 - 0.94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FA56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strata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7289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strata</w:t>
            </w:r>
            <w:proofErr w:type="gramEnd"/>
          </w:p>
        </w:tc>
      </w:tr>
      <w:tr w:rsidR="00E22DB2" w:rsidRPr="00D211A5" w14:paraId="0C2F096E" w14:textId="77777777" w:rsidTr="00D22B66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26CD05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Previous gap in care of &gt;180 days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11C1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0A41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1.39 - 1.65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4418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strata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1673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strata</w:t>
            </w:r>
            <w:proofErr w:type="gramEnd"/>
          </w:p>
        </w:tc>
      </w:tr>
      <w:tr w:rsidR="00E22DB2" w:rsidRPr="00D211A5" w14:paraId="526C3DAB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8977AA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Provincial (vs. City) clinic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58CC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721C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1.15 - 1.32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7A83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9B01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0.81 - 0.92</w:t>
            </w:r>
          </w:p>
        </w:tc>
      </w:tr>
      <w:tr w:rsidR="00E22DB2" w:rsidRPr="00D211A5" w14:paraId="52C75649" w14:textId="77777777" w:rsidTr="00D22B66">
        <w:trPr>
          <w:trHeight w:val="300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D86ADD4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Baseline CD4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524C7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(cells/</w:t>
            </w:r>
            <w:r w:rsidRPr="00524C79">
              <w:rPr>
                <w:rFonts w:asciiTheme="majorHAnsi" w:hAnsiTheme="majorHAnsi" w:cs="Lucida Grande"/>
                <w:b/>
                <w:color w:val="000000"/>
              </w:rPr>
              <w:t>μ</w:t>
            </w:r>
            <w:r w:rsidRPr="00524C79">
              <w:rPr>
                <w:rFonts w:asciiTheme="majorHAnsi" w:hAnsiTheme="majorHAnsi"/>
                <w:b/>
              </w:rPr>
              <w:t>l)</w:t>
            </w:r>
          </w:p>
        </w:tc>
      </w:tr>
      <w:tr w:rsidR="00E22DB2" w:rsidRPr="00D211A5" w14:paraId="37266770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182B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i/>
                <w:iCs/>
                <w:color w:val="000000"/>
              </w:rPr>
              <w:t>&gt;350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07CE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500B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602E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A8AA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</w:tr>
      <w:tr w:rsidR="00E22DB2" w:rsidRPr="00D211A5" w14:paraId="3249E298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F9D2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i/>
                <w:iCs/>
                <w:color w:val="000000"/>
              </w:rPr>
              <w:t>200-350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C7BA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0DA1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0.59 - 0.76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91E9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68DD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0.52 - 0.63</w:t>
            </w:r>
          </w:p>
        </w:tc>
      </w:tr>
      <w:tr w:rsidR="00E22DB2" w:rsidRPr="00D211A5" w14:paraId="7B0A126B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A1CE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i/>
                <w:iCs/>
                <w:color w:val="000000"/>
              </w:rPr>
              <w:t>50-200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4BB4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1980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0.49 - 0.64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068F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8B97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0.40 - 0.49</w:t>
            </w:r>
          </w:p>
        </w:tc>
      </w:tr>
      <w:tr w:rsidR="00E22DB2" w:rsidRPr="00D211A5" w14:paraId="04E99D79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88A8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i/>
                <w:iCs/>
                <w:color w:val="000000"/>
              </w:rPr>
              <w:t>&lt;50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838D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8EFD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0.42- 0.57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66C9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15FE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0.31 - 0.41</w:t>
            </w:r>
          </w:p>
        </w:tc>
      </w:tr>
      <w:tr w:rsidR="00E22DB2" w:rsidRPr="00D211A5" w14:paraId="18088C38" w14:textId="77777777" w:rsidTr="00D22B66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114AE986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Most recent CD4 as of 31 Dec 2014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524C7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(cells/</w:t>
            </w:r>
            <w:r w:rsidRPr="00524C79">
              <w:rPr>
                <w:rFonts w:asciiTheme="majorHAnsi" w:hAnsiTheme="majorHAnsi" w:cs="Lucida Grande"/>
                <w:b/>
                <w:color w:val="000000"/>
              </w:rPr>
              <w:t>μ</w:t>
            </w:r>
            <w:r w:rsidRPr="00524C79">
              <w:rPr>
                <w:rFonts w:asciiTheme="majorHAnsi" w:hAnsiTheme="majorHAnsi"/>
                <w:b/>
              </w:rPr>
              <w:t>l)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01ED86DC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105B5CD9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1C05A9C8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4F29EF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2DB2" w:rsidRPr="00D211A5" w14:paraId="76FAA8BD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0462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&gt;350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D461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7098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4B84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C7B1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</w:tr>
      <w:tr w:rsidR="00E22DB2" w:rsidRPr="00D211A5" w14:paraId="16457C7E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59E4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i/>
                <w:iCs/>
                <w:color w:val="000000"/>
              </w:rPr>
              <w:t>200-350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43C9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6C8E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1.82- 2.13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6B35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D87A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1.83 - 2.14</w:t>
            </w:r>
          </w:p>
        </w:tc>
      </w:tr>
      <w:tr w:rsidR="00E22DB2" w:rsidRPr="00D211A5" w14:paraId="71CB8F68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9BC9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i/>
                <w:iCs/>
                <w:color w:val="000000"/>
              </w:rPr>
              <w:t>50-200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0F5C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2.99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361D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2.70 - 3.30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9A20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2.98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A22E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2.68 - 3.32</w:t>
            </w:r>
          </w:p>
        </w:tc>
      </w:tr>
      <w:tr w:rsidR="00E22DB2" w:rsidRPr="00D211A5" w14:paraId="2D776378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7AAD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i/>
                <w:iCs/>
                <w:color w:val="000000"/>
              </w:rPr>
              <w:t>&lt;50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F5ED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3.02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259D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2.53 - 3.61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F1CB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2.84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EFF5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2.35 - 3.44</w:t>
            </w:r>
          </w:p>
        </w:tc>
      </w:tr>
      <w:tr w:rsidR="00E22DB2" w:rsidRPr="00D211A5" w14:paraId="356B8791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2FC7C9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iral load suppressed </w:t>
            </w: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ever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5804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5DCE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0.46 - 0.56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8532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B570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0.54 - 0.67</w:t>
            </w:r>
          </w:p>
        </w:tc>
      </w:tr>
      <w:tr w:rsidR="00E22DB2" w:rsidRPr="00D211A5" w14:paraId="35E61B21" w14:textId="77777777" w:rsidTr="00D22B66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3CA582" w14:textId="53490B51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ART adherence club membership</w:t>
            </w:r>
            <w:r w:rsidR="0051390D">
              <w:rPr>
                <w:rFonts w:ascii="Calibri" w:eastAsia="Times New Roman" w:hAnsi="Calibri" w:cs="Times New Roman"/>
                <w:b/>
                <w:bCs/>
                <w:color w:val="000000"/>
              </w:rPr>
              <w:t>, ever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5248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56EB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0.26 - 0.34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4924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C6C5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0.25 - 0.33</w:t>
            </w:r>
          </w:p>
        </w:tc>
      </w:tr>
      <w:tr w:rsidR="00E22DB2" w:rsidRPr="00D211A5" w14:paraId="70C1607F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973B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i/>
                <w:iCs/>
                <w:color w:val="000000"/>
              </w:rPr>
              <w:t>missing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9D47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 (omitted)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ADBE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omitted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4317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A6DE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E22DB2" w:rsidRPr="00D211A5" w14:paraId="7016C67A" w14:textId="77777777" w:rsidTr="00D22B66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59FDDC6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Most recent ART regimen drug 1 as of 31 Dec 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10BD5AA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E10A157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F0A647E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BE001B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2DB2" w:rsidRPr="00D211A5" w14:paraId="5B6DC3F0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18C7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i/>
                <w:iCs/>
                <w:color w:val="000000"/>
              </w:rPr>
              <w:t>Other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57D9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D33C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6F81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5F04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</w:tr>
      <w:tr w:rsidR="00E22DB2" w:rsidRPr="00D211A5" w14:paraId="142B9DC7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C3D4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i/>
                <w:iCs/>
                <w:color w:val="000000"/>
              </w:rPr>
              <w:t>d4T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563D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1ACE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1.63 - 2.06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36F7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6B50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1.38 - 1.79</w:t>
            </w:r>
          </w:p>
        </w:tc>
      </w:tr>
      <w:tr w:rsidR="00E22DB2" w:rsidRPr="00D211A5" w14:paraId="495C7DB9" w14:textId="77777777" w:rsidTr="00D22B66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68509A3B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Most recent ART regimen drug 3 as of 31 Dec 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739B973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C8C5FD1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044DC9F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D097CD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22DB2" w:rsidRPr="00D211A5" w14:paraId="43FB16E2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EB69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i/>
                <w:iCs/>
                <w:color w:val="000000"/>
              </w:rPr>
              <w:t>EFV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06BE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7A92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FAD2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2494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11A5">
              <w:rPr>
                <w:rFonts w:ascii="Calibri" w:eastAsia="Times New Roman" w:hAnsi="Calibri" w:cs="Times New Roman"/>
                <w:color w:val="000000"/>
              </w:rPr>
              <w:t>ref</w:t>
            </w:r>
            <w:proofErr w:type="gramEnd"/>
          </w:p>
        </w:tc>
      </w:tr>
      <w:tr w:rsidR="00E22DB2" w:rsidRPr="00D211A5" w14:paraId="673260A6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C322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i/>
                <w:iCs/>
                <w:color w:val="000000"/>
              </w:rPr>
              <w:t>NVP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977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20DB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1.09 - 1.34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34FE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E066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1.01 - 1.27</w:t>
            </w:r>
          </w:p>
        </w:tc>
      </w:tr>
      <w:tr w:rsidR="00E22DB2" w:rsidRPr="00D211A5" w14:paraId="5E78F415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B7F8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i/>
                <w:iCs/>
                <w:color w:val="000000"/>
              </w:rPr>
              <w:t>LPV/r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72A4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FDB5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0.66 - 0.81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D39B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CCC1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0.59 - 0.74</w:t>
            </w:r>
          </w:p>
        </w:tc>
      </w:tr>
      <w:tr w:rsidR="00E22DB2" w:rsidRPr="00D211A5" w14:paraId="4A98FE74" w14:textId="77777777" w:rsidTr="00D22B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C004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i/>
                <w:iCs/>
                <w:color w:val="000000"/>
              </w:rPr>
              <w:t>Other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32FE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166F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0.09 - 0.51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8A33" w14:textId="77777777" w:rsidR="00E22DB2" w:rsidRPr="00D211A5" w:rsidRDefault="00E22DB2" w:rsidP="00D22B6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9342" w14:textId="77777777" w:rsidR="00E22DB2" w:rsidRPr="00D211A5" w:rsidRDefault="00E22DB2" w:rsidP="00D22B66">
            <w:pPr>
              <w:rPr>
                <w:rFonts w:ascii="Calibri" w:eastAsia="Times New Roman" w:hAnsi="Calibri" w:cs="Times New Roman"/>
                <w:color w:val="000000"/>
              </w:rPr>
            </w:pPr>
            <w:r w:rsidRPr="00D211A5">
              <w:rPr>
                <w:rFonts w:ascii="Calibri" w:eastAsia="Times New Roman" w:hAnsi="Calibri" w:cs="Times New Roman"/>
                <w:color w:val="000000"/>
              </w:rPr>
              <w:t>0.10 - 0.45</w:t>
            </w:r>
          </w:p>
        </w:tc>
      </w:tr>
    </w:tbl>
    <w:p w14:paraId="6A6679CF" w14:textId="77777777" w:rsidR="00E22DB2" w:rsidRPr="00A84CA9" w:rsidRDefault="00E22DB2" w:rsidP="00E22DB2">
      <w:pPr>
        <w:rPr>
          <w:rFonts w:cs="Times"/>
          <w:i/>
          <w:sz w:val="22"/>
          <w:szCs w:val="22"/>
        </w:rPr>
      </w:pPr>
      <w:r w:rsidRPr="00A84CA9">
        <w:rPr>
          <w:rFonts w:cs="Times"/>
          <w:i/>
          <w:sz w:val="22"/>
          <w:szCs w:val="22"/>
        </w:rPr>
        <w:t xml:space="preserve">*Complete case analysis included </w:t>
      </w:r>
      <w:r w:rsidR="006725E6" w:rsidRPr="00A84CA9">
        <w:rPr>
          <w:rFonts w:cs="Times"/>
          <w:i/>
          <w:sz w:val="22"/>
          <w:szCs w:val="22"/>
        </w:rPr>
        <w:t xml:space="preserve">missing data from the </w:t>
      </w:r>
      <w:r w:rsidRPr="00A84CA9">
        <w:rPr>
          <w:rFonts w:cs="Times"/>
          <w:i/>
          <w:sz w:val="22"/>
          <w:szCs w:val="22"/>
        </w:rPr>
        <w:t>“</w:t>
      </w:r>
      <w:r w:rsidR="006725E6" w:rsidRPr="00A84CA9">
        <w:rPr>
          <w:rFonts w:cs="Times"/>
          <w:i/>
          <w:sz w:val="22"/>
          <w:szCs w:val="22"/>
        </w:rPr>
        <w:t xml:space="preserve">adherence </w:t>
      </w:r>
      <w:r w:rsidRPr="00A84CA9">
        <w:rPr>
          <w:rFonts w:cs="Times"/>
          <w:i/>
          <w:sz w:val="22"/>
          <w:szCs w:val="22"/>
        </w:rPr>
        <w:t xml:space="preserve">club” variable, as this variable was only included in the provincial databases. Excluding the </w:t>
      </w:r>
      <w:r w:rsidR="006725E6" w:rsidRPr="00A84CA9">
        <w:rPr>
          <w:rFonts w:cs="Times"/>
          <w:i/>
          <w:sz w:val="22"/>
          <w:szCs w:val="22"/>
        </w:rPr>
        <w:t>missing data</w:t>
      </w:r>
      <w:r w:rsidRPr="00A84CA9">
        <w:rPr>
          <w:rFonts w:cs="Times"/>
          <w:i/>
          <w:sz w:val="22"/>
          <w:szCs w:val="22"/>
        </w:rPr>
        <w:t xml:space="preserve"> from this variable would have eliminated all “City” patients from the model.</w:t>
      </w:r>
      <w:r w:rsidR="006725E6" w:rsidRPr="00A84CA9">
        <w:rPr>
          <w:rFonts w:cs="Times"/>
          <w:i/>
          <w:sz w:val="22"/>
          <w:szCs w:val="22"/>
        </w:rPr>
        <w:t xml:space="preserve"> This model did not contain imputed data.</w:t>
      </w:r>
    </w:p>
    <w:p w14:paraId="785BF9F3" w14:textId="77777777" w:rsidR="006725E6" w:rsidRPr="00A84CA9" w:rsidRDefault="006725E6" w:rsidP="00E22DB2">
      <w:pPr>
        <w:rPr>
          <w:rFonts w:cs="Times"/>
          <w:i/>
          <w:sz w:val="22"/>
          <w:szCs w:val="22"/>
        </w:rPr>
      </w:pPr>
    </w:p>
    <w:p w14:paraId="7B90D3DD" w14:textId="77777777" w:rsidR="006725E6" w:rsidRPr="00A84CA9" w:rsidRDefault="006725E6" w:rsidP="00E22DB2">
      <w:pPr>
        <w:rPr>
          <w:rFonts w:cs="Times"/>
          <w:i/>
          <w:sz w:val="22"/>
          <w:szCs w:val="22"/>
        </w:rPr>
      </w:pPr>
      <w:r w:rsidRPr="00A84CA9">
        <w:rPr>
          <w:rFonts w:cs="Times"/>
          <w:i/>
          <w:sz w:val="22"/>
          <w:szCs w:val="22"/>
        </w:rPr>
        <w:t>**This model contained imputed data but was restricted to those patients with national identification numbers to allow for accurate mortality ascertainment.</w:t>
      </w:r>
    </w:p>
    <w:p w14:paraId="7E1CB766" w14:textId="77777777" w:rsidR="006725E6" w:rsidRPr="001A1041" w:rsidRDefault="006725E6" w:rsidP="00E22DB2">
      <w:pPr>
        <w:rPr>
          <w:rFonts w:cs="Times"/>
          <w:sz w:val="22"/>
          <w:szCs w:val="22"/>
        </w:rPr>
      </w:pPr>
      <w:bookmarkStart w:id="0" w:name="_GoBack"/>
      <w:bookmarkEnd w:id="0"/>
    </w:p>
    <w:p w14:paraId="79B2F1E3" w14:textId="75FAD28C" w:rsidR="00873594" w:rsidRPr="001A1041" w:rsidRDefault="00873594" w:rsidP="00873594">
      <w:pPr>
        <w:rPr>
          <w:rFonts w:cs="Times"/>
          <w:i/>
          <w:sz w:val="22"/>
          <w:szCs w:val="22"/>
        </w:rPr>
      </w:pPr>
      <w:r w:rsidRPr="001A1041">
        <w:rPr>
          <w:rFonts w:cs="Times"/>
          <w:i/>
          <w:sz w:val="22"/>
          <w:szCs w:val="22"/>
        </w:rPr>
        <w:t>ABC, abacavir; ART, antiretroviral</w:t>
      </w:r>
      <w:r w:rsidR="008170DD">
        <w:rPr>
          <w:rFonts w:cs="Times"/>
          <w:i/>
          <w:sz w:val="22"/>
          <w:szCs w:val="22"/>
        </w:rPr>
        <w:t xml:space="preserve"> therapy</w:t>
      </w:r>
      <w:r w:rsidRPr="001A1041">
        <w:rPr>
          <w:rFonts w:cs="Times"/>
          <w:i/>
          <w:sz w:val="22"/>
          <w:szCs w:val="22"/>
        </w:rPr>
        <w:t xml:space="preserve">; AZT, zidovudine; </w:t>
      </w:r>
      <w:r w:rsidR="008170DD">
        <w:rPr>
          <w:rFonts w:cs="Times"/>
          <w:i/>
          <w:sz w:val="22"/>
          <w:szCs w:val="22"/>
        </w:rPr>
        <w:t xml:space="preserve">CI, confidence interval; </w:t>
      </w:r>
      <w:r w:rsidRPr="001A1041">
        <w:rPr>
          <w:rFonts w:cs="Times"/>
          <w:i/>
          <w:sz w:val="22"/>
          <w:szCs w:val="22"/>
        </w:rPr>
        <w:t xml:space="preserve">d4T, stavudine EFV, efavirenz; LPV/r, lopinavir/ritonavir; NVP, </w:t>
      </w:r>
      <w:proofErr w:type="spellStart"/>
      <w:r w:rsidRPr="001A1041">
        <w:rPr>
          <w:rFonts w:cs="Times"/>
          <w:i/>
          <w:sz w:val="22"/>
          <w:szCs w:val="22"/>
        </w:rPr>
        <w:t>nevirapine</w:t>
      </w:r>
      <w:proofErr w:type="spellEnd"/>
      <w:r w:rsidRPr="001A1041">
        <w:rPr>
          <w:rFonts w:cs="Times"/>
          <w:i/>
          <w:sz w:val="22"/>
          <w:szCs w:val="22"/>
        </w:rPr>
        <w:t>;</w:t>
      </w:r>
      <w:r w:rsidR="008170DD">
        <w:rPr>
          <w:rFonts w:cs="Times"/>
          <w:i/>
          <w:sz w:val="22"/>
          <w:szCs w:val="22"/>
        </w:rPr>
        <w:t xml:space="preserve"> ref, reference;</w:t>
      </w:r>
      <w:r w:rsidRPr="001A1041">
        <w:rPr>
          <w:rFonts w:cs="Times"/>
          <w:i/>
          <w:sz w:val="22"/>
          <w:szCs w:val="22"/>
        </w:rPr>
        <w:t xml:space="preserve"> TB, tuberculosis; TDF, </w:t>
      </w:r>
      <w:proofErr w:type="spellStart"/>
      <w:r w:rsidRPr="001A1041">
        <w:rPr>
          <w:rFonts w:cs="Times"/>
          <w:i/>
          <w:sz w:val="22"/>
          <w:szCs w:val="22"/>
        </w:rPr>
        <w:t>tenofovir</w:t>
      </w:r>
      <w:proofErr w:type="spellEnd"/>
      <w:r w:rsidR="008170DD">
        <w:rPr>
          <w:rFonts w:cs="Times"/>
          <w:i/>
          <w:sz w:val="22"/>
          <w:szCs w:val="22"/>
        </w:rPr>
        <w:t xml:space="preserve">; </w:t>
      </w:r>
      <w:proofErr w:type="spellStart"/>
      <w:r w:rsidR="008170DD">
        <w:rPr>
          <w:rFonts w:cs="Times"/>
          <w:i/>
          <w:sz w:val="22"/>
          <w:szCs w:val="22"/>
        </w:rPr>
        <w:t>yrs</w:t>
      </w:r>
      <w:proofErr w:type="spellEnd"/>
      <w:r w:rsidR="008170DD">
        <w:rPr>
          <w:rFonts w:cs="Times"/>
          <w:i/>
          <w:sz w:val="22"/>
          <w:szCs w:val="22"/>
        </w:rPr>
        <w:t>, years</w:t>
      </w:r>
    </w:p>
    <w:p w14:paraId="65C90184" w14:textId="77777777" w:rsidR="00F804B9" w:rsidRDefault="00F804B9"/>
    <w:sectPr w:rsidR="00F804B9" w:rsidSect="003778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B2"/>
    <w:rsid w:val="001A1041"/>
    <w:rsid w:val="003778C1"/>
    <w:rsid w:val="0051390D"/>
    <w:rsid w:val="005B08B6"/>
    <w:rsid w:val="006725E6"/>
    <w:rsid w:val="008170DD"/>
    <w:rsid w:val="00873594"/>
    <w:rsid w:val="00A84CA9"/>
    <w:rsid w:val="00E22DB2"/>
    <w:rsid w:val="00F8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DB6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D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D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2025</Characters>
  <Application>Microsoft Macintosh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Kaplan</dc:creator>
  <cp:keywords/>
  <dc:description/>
  <cp:lastModifiedBy>Samantha Kaplan</cp:lastModifiedBy>
  <cp:revision>8</cp:revision>
  <dcterms:created xsi:type="dcterms:W3CDTF">2017-03-09T17:02:00Z</dcterms:created>
  <dcterms:modified xsi:type="dcterms:W3CDTF">2017-09-27T05:45:00Z</dcterms:modified>
</cp:coreProperties>
</file>