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8E" w:rsidRPr="00512712" w:rsidRDefault="0043548E" w:rsidP="0043548E">
      <w:pPr>
        <w:spacing w:after="0" w:line="360" w:lineRule="auto"/>
        <w:rPr>
          <w:rFonts w:ascii="Arial" w:hAnsi="Arial" w:cs="Arial"/>
          <w:sz w:val="24"/>
          <w:szCs w:val="20"/>
        </w:rPr>
      </w:pPr>
      <w:r w:rsidRPr="00512712">
        <w:rPr>
          <w:rFonts w:ascii="Arial" w:hAnsi="Arial" w:cs="Arial"/>
          <w:sz w:val="24"/>
          <w:szCs w:val="20"/>
        </w:rPr>
        <w:t>S</w:t>
      </w:r>
      <w:r w:rsidR="006C2D44">
        <w:rPr>
          <w:rFonts w:ascii="Arial" w:hAnsi="Arial" w:cs="Arial"/>
          <w:sz w:val="24"/>
          <w:szCs w:val="20"/>
        </w:rPr>
        <w:t>7</w:t>
      </w:r>
      <w:r w:rsidRPr="00512712">
        <w:rPr>
          <w:rFonts w:ascii="Arial" w:hAnsi="Arial" w:cs="Arial"/>
          <w:sz w:val="24"/>
          <w:szCs w:val="20"/>
        </w:rPr>
        <w:t xml:space="preserve"> Table</w:t>
      </w:r>
      <w:bookmarkStart w:id="0" w:name="_GoBack"/>
      <w:bookmarkEnd w:id="0"/>
      <w:r w:rsidRPr="00512712">
        <w:rPr>
          <w:rFonts w:ascii="Arial" w:hAnsi="Arial" w:cs="Arial"/>
          <w:sz w:val="24"/>
          <w:szCs w:val="20"/>
        </w:rPr>
        <w:tab/>
        <w:t xml:space="preserve">Beverages included </w:t>
      </w:r>
      <w:r w:rsidR="00512712">
        <w:rPr>
          <w:rFonts w:ascii="Arial" w:hAnsi="Arial" w:cs="Arial"/>
          <w:sz w:val="24"/>
          <w:szCs w:val="20"/>
        </w:rPr>
        <w:t xml:space="preserve">and excluded from </w:t>
      </w:r>
      <w:r w:rsidRPr="00512712">
        <w:rPr>
          <w:rFonts w:ascii="Arial" w:hAnsi="Arial" w:cs="Arial"/>
          <w:sz w:val="24"/>
          <w:szCs w:val="20"/>
        </w:rPr>
        <w:t>Point-of-</w:t>
      </w:r>
      <w:r w:rsidR="00512712">
        <w:rPr>
          <w:rFonts w:ascii="Arial" w:hAnsi="Arial" w:cs="Arial"/>
          <w:sz w:val="24"/>
          <w:szCs w:val="20"/>
        </w:rPr>
        <w:t>sales study</w:t>
      </w:r>
    </w:p>
    <w:tbl>
      <w:tblPr>
        <w:tblW w:w="962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7650"/>
      </w:tblGrid>
      <w:tr w:rsidR="0043548E" w:rsidRPr="00F34C77" w:rsidTr="002C7446">
        <w:trPr>
          <w:trHeight w:val="2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8E" w:rsidRPr="00DA1049" w:rsidRDefault="0043548E" w:rsidP="00C468C9">
            <w:pPr>
              <w:spacing w:before="40" w:after="40" w:line="20" w:lineRule="atLeast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 w:rsidRPr="00DA1049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Beverage Category</w:t>
            </w: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8E" w:rsidRPr="00DA1049" w:rsidRDefault="0043548E" w:rsidP="00C468C9">
            <w:pPr>
              <w:spacing w:before="40" w:after="40" w:line="20" w:lineRule="atLeast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 w:rsidRPr="00DA1049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Beverages included and examples</w:t>
            </w:r>
          </w:p>
        </w:tc>
      </w:tr>
      <w:tr w:rsidR="0043548E" w:rsidRPr="00F34C77" w:rsidTr="002C7446">
        <w:trPr>
          <w:trHeight w:val="20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8E" w:rsidRPr="00DA1049" w:rsidRDefault="0043548E" w:rsidP="00C468C9">
            <w:pPr>
              <w:spacing w:before="40" w:after="40" w:line="20" w:lineRule="atLeast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A1049">
              <w:rPr>
                <w:rFonts w:ascii="Arial" w:hAnsi="Arial" w:cs="Arial"/>
                <w:color w:val="000000"/>
                <w:sz w:val="24"/>
                <w:szCs w:val="20"/>
              </w:rPr>
              <w:t>Soft drinks &amp; energy drinks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48E" w:rsidRPr="00DA1049" w:rsidRDefault="0043548E" w:rsidP="00C468C9">
            <w:pPr>
              <w:spacing w:before="40" w:after="40" w:line="20" w:lineRule="atLeast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A1049">
              <w:rPr>
                <w:rFonts w:ascii="Arial" w:hAnsi="Arial" w:cs="Arial"/>
                <w:color w:val="000000"/>
                <w:sz w:val="24"/>
                <w:szCs w:val="20"/>
              </w:rPr>
              <w:t>Soft drinks (e.g., Coca-Cola Classic, Sprite)</w:t>
            </w:r>
          </w:p>
        </w:tc>
      </w:tr>
      <w:tr w:rsidR="0043548E" w:rsidRPr="00F34C77" w:rsidTr="002C7446">
        <w:trPr>
          <w:trHeight w:val="2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8E" w:rsidRPr="00DA1049" w:rsidRDefault="0043548E" w:rsidP="00C468C9">
            <w:pPr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48E" w:rsidRPr="00DA1049" w:rsidRDefault="0043548E" w:rsidP="00C468C9">
            <w:pPr>
              <w:spacing w:before="40" w:after="40" w:line="20" w:lineRule="atLeast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A1049">
              <w:rPr>
                <w:rFonts w:ascii="Arial" w:hAnsi="Arial" w:cs="Arial"/>
                <w:color w:val="000000"/>
                <w:sz w:val="24"/>
                <w:szCs w:val="20"/>
              </w:rPr>
              <w:t>Energy drinks (e.g., Red Bull)</w:t>
            </w:r>
          </w:p>
        </w:tc>
      </w:tr>
      <w:tr w:rsidR="0043548E" w:rsidRPr="00F34C77" w:rsidTr="002C7446">
        <w:trPr>
          <w:trHeight w:val="20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8E" w:rsidRPr="00DA1049" w:rsidRDefault="0043548E" w:rsidP="00C468C9">
            <w:pPr>
              <w:spacing w:before="40" w:after="40" w:line="20" w:lineRule="atLeast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A1049">
              <w:rPr>
                <w:rFonts w:ascii="Arial" w:hAnsi="Arial" w:cs="Arial"/>
                <w:color w:val="000000"/>
                <w:sz w:val="24"/>
                <w:szCs w:val="20"/>
              </w:rPr>
              <w:t>Fruit, vegetable or tea drinks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48E" w:rsidRPr="00DA1049" w:rsidRDefault="0043548E" w:rsidP="00C468C9">
            <w:pPr>
              <w:spacing w:before="40" w:after="40" w:line="20" w:lineRule="atLeast"/>
              <w:rPr>
                <w:rFonts w:ascii="Arial" w:hAnsi="Arial" w:cs="Arial"/>
                <w:sz w:val="24"/>
                <w:szCs w:val="20"/>
              </w:rPr>
            </w:pPr>
            <w:r w:rsidRPr="00DA1049">
              <w:rPr>
                <w:rFonts w:ascii="Arial" w:hAnsi="Arial" w:cs="Arial"/>
                <w:sz w:val="24"/>
                <w:szCs w:val="20"/>
              </w:rPr>
              <w:t>Fruit drinks, sports drinks (e.g., Capri Sun Fruit Punch, Gatorade G2)</w:t>
            </w:r>
          </w:p>
        </w:tc>
      </w:tr>
      <w:tr w:rsidR="0043548E" w:rsidRPr="00F34C77" w:rsidTr="002C7446">
        <w:trPr>
          <w:trHeight w:val="2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8E" w:rsidRPr="00DA1049" w:rsidRDefault="0043548E" w:rsidP="00C468C9">
            <w:pPr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48E" w:rsidRPr="00DA1049" w:rsidRDefault="0043548E" w:rsidP="00C468C9">
            <w:pPr>
              <w:spacing w:before="40" w:after="40" w:line="20" w:lineRule="atLeast"/>
              <w:rPr>
                <w:rFonts w:ascii="Arial" w:hAnsi="Arial" w:cs="Arial"/>
                <w:sz w:val="24"/>
                <w:szCs w:val="20"/>
              </w:rPr>
            </w:pPr>
            <w:r w:rsidRPr="00DA1049">
              <w:rPr>
                <w:rFonts w:ascii="Arial" w:hAnsi="Arial" w:cs="Arial"/>
                <w:sz w:val="24"/>
                <w:szCs w:val="20"/>
              </w:rPr>
              <w:t>Ready-to-drink teas without milk/creamer (e.g., Gold Peak Sweet Tea, Snapple Iced Tea)</w:t>
            </w:r>
          </w:p>
        </w:tc>
      </w:tr>
      <w:tr w:rsidR="0043548E" w:rsidRPr="00F34C77" w:rsidTr="002C7446">
        <w:trPr>
          <w:trHeight w:val="2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8E" w:rsidRPr="00DA1049" w:rsidRDefault="0043548E" w:rsidP="00C468C9">
            <w:pPr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48E" w:rsidRPr="00DA1049" w:rsidRDefault="0043548E" w:rsidP="00C468C9">
            <w:pPr>
              <w:spacing w:before="40" w:after="40" w:line="20" w:lineRule="atLeast"/>
              <w:rPr>
                <w:rFonts w:ascii="Arial" w:hAnsi="Arial" w:cs="Arial"/>
                <w:sz w:val="24"/>
                <w:szCs w:val="20"/>
              </w:rPr>
            </w:pPr>
            <w:r w:rsidRPr="00DA1049">
              <w:rPr>
                <w:rFonts w:ascii="Arial" w:hAnsi="Arial" w:cs="Arial"/>
                <w:sz w:val="24"/>
                <w:szCs w:val="20"/>
              </w:rPr>
              <w:t>Fruit juices (e.g., Ocean Spray Cranberry Juice Cocktail, Welch’s 100% Grape Juice)</w:t>
            </w:r>
          </w:p>
        </w:tc>
      </w:tr>
      <w:tr w:rsidR="0043548E" w:rsidRPr="00F34C77" w:rsidTr="002C7446">
        <w:trPr>
          <w:trHeight w:val="2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8E" w:rsidRPr="00DA1049" w:rsidRDefault="0043548E" w:rsidP="00C468C9">
            <w:pPr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548E" w:rsidRPr="00DA1049" w:rsidRDefault="0043548E" w:rsidP="00C468C9">
            <w:pPr>
              <w:spacing w:before="40" w:after="40" w:line="20" w:lineRule="atLeast"/>
              <w:rPr>
                <w:rFonts w:ascii="Arial" w:hAnsi="Arial" w:cs="Arial"/>
                <w:sz w:val="24"/>
                <w:szCs w:val="20"/>
              </w:rPr>
            </w:pPr>
            <w:r w:rsidRPr="00DA1049">
              <w:rPr>
                <w:rFonts w:ascii="Arial" w:hAnsi="Arial" w:cs="Arial"/>
                <w:sz w:val="24"/>
                <w:szCs w:val="20"/>
              </w:rPr>
              <w:t xml:space="preserve">Vegetable Juices (e.g., </w:t>
            </w:r>
            <w:proofErr w:type="spellStart"/>
            <w:r w:rsidRPr="00DA1049">
              <w:rPr>
                <w:rFonts w:ascii="Arial" w:hAnsi="Arial" w:cs="Arial"/>
                <w:sz w:val="24"/>
                <w:szCs w:val="20"/>
              </w:rPr>
              <w:t>Bolthouse</w:t>
            </w:r>
            <w:proofErr w:type="spellEnd"/>
            <w:r w:rsidRPr="00DA1049">
              <w:rPr>
                <w:rFonts w:ascii="Arial" w:hAnsi="Arial" w:cs="Arial"/>
                <w:sz w:val="24"/>
                <w:szCs w:val="20"/>
              </w:rPr>
              <w:t xml:space="preserve"> Daily Greens, </w:t>
            </w:r>
            <w:proofErr w:type="spellStart"/>
            <w:r w:rsidRPr="00DA1049">
              <w:rPr>
                <w:rFonts w:ascii="Arial" w:hAnsi="Arial" w:cs="Arial"/>
                <w:sz w:val="24"/>
                <w:szCs w:val="20"/>
              </w:rPr>
              <w:t>Odwalla</w:t>
            </w:r>
            <w:proofErr w:type="spellEnd"/>
            <w:r w:rsidRPr="00DA1049">
              <w:rPr>
                <w:rFonts w:ascii="Arial" w:hAnsi="Arial" w:cs="Arial"/>
                <w:sz w:val="24"/>
                <w:szCs w:val="20"/>
              </w:rPr>
              <w:t xml:space="preserve"> Carrot Juice, V-8 Vegetable Juice)</w:t>
            </w:r>
          </w:p>
        </w:tc>
      </w:tr>
      <w:tr w:rsidR="0043548E" w:rsidRPr="00F34C77" w:rsidTr="002C7446">
        <w:trPr>
          <w:trHeight w:val="20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8E" w:rsidRPr="00DA1049" w:rsidRDefault="0043548E" w:rsidP="00C468C9">
            <w:pPr>
              <w:spacing w:before="40" w:after="40" w:line="20" w:lineRule="atLeast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A1049">
              <w:rPr>
                <w:rFonts w:ascii="Arial" w:hAnsi="Arial" w:cs="Arial"/>
                <w:color w:val="000000"/>
                <w:sz w:val="24"/>
                <w:szCs w:val="20"/>
              </w:rPr>
              <w:t>Flavored milk  or substitute beverages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8E" w:rsidRPr="00DA1049" w:rsidRDefault="0043548E" w:rsidP="00C468C9">
            <w:pPr>
              <w:spacing w:before="40" w:after="40" w:line="20" w:lineRule="atLeast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A1049">
              <w:rPr>
                <w:rFonts w:ascii="Arial" w:hAnsi="Arial" w:cs="Arial"/>
                <w:color w:val="000000"/>
                <w:sz w:val="24"/>
                <w:szCs w:val="20"/>
              </w:rPr>
              <w:t xml:space="preserve">Milk, </w:t>
            </w:r>
            <w:r w:rsidRPr="00DA1049">
              <w:rPr>
                <w:rFonts w:ascii="Arial" w:hAnsi="Arial" w:cs="Arial"/>
                <w:sz w:val="24"/>
                <w:szCs w:val="20"/>
              </w:rPr>
              <w:t xml:space="preserve">sweetened or flavored (e.g., Horizon Strawberry Milk, </w:t>
            </w:r>
            <w:proofErr w:type="spellStart"/>
            <w:r w:rsidRPr="00DA1049">
              <w:rPr>
                <w:rFonts w:ascii="Arial" w:hAnsi="Arial" w:cs="Arial"/>
                <w:sz w:val="24"/>
                <w:szCs w:val="20"/>
              </w:rPr>
              <w:t>Nesquik</w:t>
            </w:r>
            <w:proofErr w:type="spellEnd"/>
            <w:r w:rsidRPr="00DA1049">
              <w:rPr>
                <w:rFonts w:ascii="Arial" w:hAnsi="Arial" w:cs="Arial"/>
                <w:sz w:val="24"/>
                <w:szCs w:val="20"/>
              </w:rPr>
              <w:t xml:space="preserve"> Chocolate Milk)</w:t>
            </w:r>
          </w:p>
        </w:tc>
      </w:tr>
      <w:tr w:rsidR="0043548E" w:rsidRPr="00F34C77" w:rsidTr="002C7446">
        <w:trPr>
          <w:trHeight w:val="2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8E" w:rsidRPr="00DA1049" w:rsidRDefault="0043548E" w:rsidP="00C468C9">
            <w:pPr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8E" w:rsidRPr="00DA1049" w:rsidRDefault="0043548E" w:rsidP="00C468C9">
            <w:pPr>
              <w:spacing w:before="40" w:after="40" w:line="20" w:lineRule="atLeast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A1049">
              <w:rPr>
                <w:rFonts w:ascii="Arial" w:hAnsi="Arial" w:cs="Arial"/>
                <w:color w:val="000000"/>
                <w:sz w:val="24"/>
                <w:szCs w:val="20"/>
              </w:rPr>
              <w:t xml:space="preserve">Cocoa and </w:t>
            </w:r>
            <w:r w:rsidRPr="00DA1049">
              <w:rPr>
                <w:rFonts w:ascii="Arial" w:hAnsi="Arial" w:cs="Arial"/>
                <w:sz w:val="24"/>
                <w:szCs w:val="20"/>
              </w:rPr>
              <w:t>sweetened beverages containing milk/creamers (e.g., Starbucks Mocha Frappuccino)</w:t>
            </w:r>
          </w:p>
        </w:tc>
      </w:tr>
      <w:tr w:rsidR="0043548E" w:rsidRPr="00F34C77" w:rsidTr="002C7446">
        <w:trPr>
          <w:trHeight w:val="2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8E" w:rsidRPr="00DA1049" w:rsidRDefault="0043548E" w:rsidP="00C468C9">
            <w:pPr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8E" w:rsidRPr="00DA1049" w:rsidRDefault="0043548E" w:rsidP="00C468C9">
            <w:pPr>
              <w:spacing w:before="40" w:after="40" w:line="20" w:lineRule="atLeast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A1049">
              <w:rPr>
                <w:rFonts w:ascii="Arial" w:hAnsi="Arial" w:cs="Arial"/>
                <w:color w:val="000000"/>
                <w:sz w:val="24"/>
                <w:szCs w:val="20"/>
              </w:rPr>
              <w:t xml:space="preserve">Milk </w:t>
            </w:r>
            <w:r w:rsidRPr="00DA1049">
              <w:rPr>
                <w:rFonts w:ascii="Arial" w:hAnsi="Arial" w:cs="Arial"/>
                <w:sz w:val="24"/>
                <w:szCs w:val="20"/>
              </w:rPr>
              <w:t>substitutes and milk-based beverages (e.g., Rice Dream Original, Silk Soymilk)</w:t>
            </w:r>
          </w:p>
        </w:tc>
      </w:tr>
      <w:tr w:rsidR="0043548E" w:rsidRPr="00F34C77" w:rsidTr="002C7446">
        <w:trPr>
          <w:trHeight w:val="2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48E" w:rsidRPr="00DA1049" w:rsidRDefault="0043548E" w:rsidP="00C468C9">
            <w:pPr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8E" w:rsidRPr="00DA1049" w:rsidRDefault="0043548E" w:rsidP="00C468C9">
            <w:pPr>
              <w:spacing w:before="40" w:after="40" w:line="20" w:lineRule="atLeast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A1049">
              <w:rPr>
                <w:rFonts w:ascii="Arial" w:hAnsi="Arial" w:cs="Arial"/>
                <w:color w:val="000000"/>
                <w:sz w:val="24"/>
                <w:szCs w:val="20"/>
              </w:rPr>
              <w:t>Yogurt drinks</w:t>
            </w:r>
            <w:r w:rsidRPr="00DA1049">
              <w:rPr>
                <w:rFonts w:ascii="Arial" w:hAnsi="Arial" w:cs="Arial"/>
                <w:sz w:val="24"/>
                <w:szCs w:val="20"/>
              </w:rPr>
              <w:t xml:space="preserve">/kefir (e.g., </w:t>
            </w:r>
            <w:proofErr w:type="spellStart"/>
            <w:r w:rsidRPr="00DA1049">
              <w:rPr>
                <w:rFonts w:ascii="Arial" w:hAnsi="Arial" w:cs="Arial"/>
                <w:sz w:val="24"/>
                <w:szCs w:val="20"/>
              </w:rPr>
              <w:t>Dannon</w:t>
            </w:r>
            <w:proofErr w:type="spellEnd"/>
            <w:r w:rsidRPr="00DA1049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DA1049">
              <w:rPr>
                <w:rFonts w:ascii="Arial" w:hAnsi="Arial" w:cs="Arial"/>
                <w:sz w:val="24"/>
                <w:szCs w:val="20"/>
              </w:rPr>
              <w:t>Danimals</w:t>
            </w:r>
            <w:proofErr w:type="spellEnd"/>
            <w:r w:rsidRPr="00DA1049">
              <w:rPr>
                <w:rFonts w:ascii="Arial" w:hAnsi="Arial" w:cs="Arial"/>
                <w:sz w:val="24"/>
                <w:szCs w:val="20"/>
              </w:rPr>
              <w:t>, Lifeway Kefir)</w:t>
            </w:r>
          </w:p>
        </w:tc>
      </w:tr>
      <w:tr w:rsidR="0043548E" w:rsidRPr="00F34C77" w:rsidTr="002C7446">
        <w:trPr>
          <w:trHeight w:val="2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8E" w:rsidRPr="00DA1049" w:rsidRDefault="0043548E" w:rsidP="00C468C9">
            <w:pPr>
              <w:spacing w:before="40" w:after="40" w:line="20" w:lineRule="atLeast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A1049">
              <w:rPr>
                <w:rFonts w:ascii="Arial" w:hAnsi="Arial" w:cs="Arial"/>
                <w:color w:val="000000"/>
                <w:sz w:val="24"/>
                <w:szCs w:val="20"/>
              </w:rPr>
              <w:t>Plain waters*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8E" w:rsidRPr="00DA1049" w:rsidRDefault="0043548E" w:rsidP="00C468C9">
            <w:pPr>
              <w:spacing w:before="40" w:after="40" w:line="20" w:lineRule="atLeast"/>
              <w:rPr>
                <w:rFonts w:ascii="Arial" w:hAnsi="Arial" w:cs="Arial"/>
                <w:sz w:val="24"/>
                <w:szCs w:val="20"/>
              </w:rPr>
            </w:pPr>
            <w:r w:rsidRPr="00DA1049">
              <w:rPr>
                <w:rFonts w:ascii="Arial" w:hAnsi="Arial" w:cs="Arial"/>
                <w:sz w:val="24"/>
                <w:szCs w:val="20"/>
              </w:rPr>
              <w:t>Plain waters (e.g., sparkling water, still bottled waters, club soda)</w:t>
            </w:r>
          </w:p>
        </w:tc>
      </w:tr>
      <w:tr w:rsidR="0043548E" w:rsidRPr="00F34C77" w:rsidTr="002C7446">
        <w:trPr>
          <w:trHeight w:val="2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8E" w:rsidRPr="00DA1049" w:rsidRDefault="0043548E" w:rsidP="00C468C9">
            <w:pPr>
              <w:spacing w:before="40" w:after="40" w:line="20" w:lineRule="atLeast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A1049">
              <w:rPr>
                <w:rFonts w:ascii="Arial" w:hAnsi="Arial" w:cs="Arial"/>
                <w:color w:val="000000"/>
                <w:sz w:val="24"/>
                <w:szCs w:val="20"/>
              </w:rPr>
              <w:t>Plain milks*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8E" w:rsidRPr="00DA1049" w:rsidRDefault="0043548E" w:rsidP="00C468C9">
            <w:pPr>
              <w:spacing w:before="40" w:after="40" w:line="20" w:lineRule="atLeast"/>
              <w:rPr>
                <w:rFonts w:ascii="Arial" w:hAnsi="Arial" w:cs="Arial"/>
                <w:sz w:val="24"/>
                <w:szCs w:val="20"/>
              </w:rPr>
            </w:pPr>
            <w:r w:rsidRPr="00DA1049">
              <w:rPr>
                <w:rFonts w:ascii="Arial" w:hAnsi="Arial" w:cs="Arial"/>
                <w:sz w:val="24"/>
                <w:szCs w:val="20"/>
              </w:rPr>
              <w:t>Milk, plain (e.g., 1%, 2% or whole milk)</w:t>
            </w:r>
          </w:p>
        </w:tc>
      </w:tr>
      <w:tr w:rsidR="0043548E" w:rsidRPr="00F34C77" w:rsidTr="002C7446">
        <w:trPr>
          <w:trHeight w:val="350"/>
        </w:trPr>
        <w:tc>
          <w:tcPr>
            <w:tcW w:w="96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48E" w:rsidRPr="00DA1049" w:rsidRDefault="0043548E" w:rsidP="00C468C9">
            <w:pPr>
              <w:spacing w:before="120" w:after="120"/>
              <w:ind w:left="702" w:hanging="7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049">
              <w:rPr>
                <w:rFonts w:ascii="Arial" w:hAnsi="Arial" w:cs="Arial"/>
                <w:color w:val="000000"/>
                <w:sz w:val="20"/>
                <w:szCs w:val="20"/>
              </w:rPr>
              <w:t xml:space="preserve">Notes:   *denotes all products in this beverage group are untaxed; all other beverage groups included in this study had both taxed and untaxed items. </w:t>
            </w:r>
          </w:p>
          <w:p w:rsidR="0043548E" w:rsidRPr="00F34C77" w:rsidRDefault="0043548E" w:rsidP="00C468C9">
            <w:pPr>
              <w:spacing w:before="120" w:after="120"/>
              <w:ind w:left="7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04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†</w:t>
            </w:r>
            <w:r w:rsidRPr="00DA1049">
              <w:rPr>
                <w:rFonts w:ascii="Arial" w:hAnsi="Arial" w:cs="Arial"/>
                <w:color w:val="000000"/>
                <w:sz w:val="20"/>
                <w:szCs w:val="20"/>
              </w:rPr>
              <w:t>We exclude non-ready-to-drink items such as ground/ whole bean coffee; tea bags/loose tea; liquid and powder concentrates/mixes because the taxation status of products that required reconstitution were initially unclear to stores. Moreover, these beverages are sold in weight units (g) rather than liquid volume units (</w:t>
            </w:r>
            <w:proofErr w:type="spellStart"/>
            <w:r w:rsidRPr="00DA1049">
              <w:rPr>
                <w:rFonts w:ascii="Arial" w:hAnsi="Arial" w:cs="Arial"/>
                <w:color w:val="000000"/>
                <w:sz w:val="20"/>
                <w:szCs w:val="20"/>
              </w:rPr>
              <w:t>fl</w:t>
            </w:r>
            <w:proofErr w:type="spellEnd"/>
            <w:r w:rsidRPr="00DA10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1049"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  <w:proofErr w:type="spellEnd"/>
            <w:r w:rsidRPr="00DA1049">
              <w:rPr>
                <w:rFonts w:ascii="Arial" w:hAnsi="Arial" w:cs="Arial"/>
                <w:color w:val="000000"/>
                <w:sz w:val="20"/>
                <w:szCs w:val="20"/>
              </w:rPr>
              <w:t xml:space="preserve"> or mL). We also excluded alcohol (beer, wine, liquor, mixed alcoholic beverages), meal replacements, medical/dietary supplements, infant formula, any product added to another beverage (e.g., syrups, creamers). Lastly, we excluded sales of ready-to-drink fountain or hot drinks with no objective size information (e.g., descriptors are “small/medium/large”) as we were unable to appropriate use these data.</w:t>
            </w:r>
          </w:p>
        </w:tc>
      </w:tr>
    </w:tbl>
    <w:p w:rsidR="007727F6" w:rsidRDefault="006C2D44"/>
    <w:sectPr w:rsidR="007727F6" w:rsidSect="002C7446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8E"/>
    <w:rsid w:val="002C7446"/>
    <w:rsid w:val="0043548E"/>
    <w:rsid w:val="004E4DF1"/>
    <w:rsid w:val="00512712"/>
    <w:rsid w:val="006C2D44"/>
    <w:rsid w:val="00D0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D6A9B-19B8-480A-AF3F-19A848B8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4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 Population Center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Dancy, Frances</dc:creator>
  <cp:keywords/>
  <dc:description/>
  <cp:lastModifiedBy>Dancy, Frances</cp:lastModifiedBy>
  <cp:revision>4</cp:revision>
  <dcterms:created xsi:type="dcterms:W3CDTF">2017-02-17T20:29:00Z</dcterms:created>
  <dcterms:modified xsi:type="dcterms:W3CDTF">2017-03-02T20:29:00Z</dcterms:modified>
</cp:coreProperties>
</file>