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C6B" w:rsidRDefault="00FD2AB7" w:rsidP="00FD2AB7">
      <w:pPr>
        <w:rPr>
          <w:rFonts w:ascii="Times New Roman" w:hAnsi="Times New Roman" w:cs="Times New Roman"/>
          <w:b/>
          <w:szCs w:val="20"/>
        </w:rPr>
      </w:pPr>
      <w:r>
        <w:rPr>
          <w:rFonts w:ascii="Times New Roman" w:hAnsi="Times New Roman" w:cs="Times New Roman"/>
          <w:b/>
          <w:szCs w:val="20"/>
        </w:rPr>
        <w:t>S2 Table</w:t>
      </w:r>
      <w:r w:rsidRPr="007C0637">
        <w:rPr>
          <w:rFonts w:ascii="Times New Roman" w:hAnsi="Times New Roman" w:cs="Times New Roman"/>
          <w:b/>
          <w:szCs w:val="20"/>
        </w:rPr>
        <w:t xml:space="preserve">: </w:t>
      </w:r>
      <w:r w:rsidR="00FF3C6B" w:rsidRPr="00FF3C6B">
        <w:rPr>
          <w:rFonts w:ascii="Times New Roman" w:hAnsi="Times New Roman" w:cs="Times New Roman"/>
          <w:b/>
          <w:szCs w:val="20"/>
        </w:rPr>
        <w:t xml:space="preserve">Adherence according to age and baseline severity of </w:t>
      </w:r>
      <w:r w:rsidR="00555BB2">
        <w:rPr>
          <w:rFonts w:ascii="Times New Roman" w:hAnsi="Times New Roman" w:cs="Times New Roman"/>
          <w:b/>
          <w:szCs w:val="20"/>
        </w:rPr>
        <w:t>eczema</w:t>
      </w:r>
    </w:p>
    <w:p w:rsidR="00FD2AB7" w:rsidRDefault="00FD2AB7" w:rsidP="00FD2AB7">
      <w:pPr>
        <w:rPr>
          <w:i/>
        </w:rPr>
      </w:pPr>
    </w:p>
    <w:tbl>
      <w:tblPr>
        <w:tblW w:w="0" w:type="auto"/>
        <w:tblLook w:val="04A0" w:firstRow="1" w:lastRow="0" w:firstColumn="1" w:lastColumn="0" w:noHBand="0" w:noVBand="1"/>
      </w:tblPr>
      <w:tblGrid>
        <w:gridCol w:w="3002"/>
        <w:gridCol w:w="3012"/>
        <w:gridCol w:w="3012"/>
      </w:tblGrid>
      <w:tr w:rsidR="00E410C9" w:rsidTr="0087656B">
        <w:tc>
          <w:tcPr>
            <w:tcW w:w="3002" w:type="dxa"/>
            <w:tcBorders>
              <w:top w:val="single" w:sz="4" w:space="0" w:color="auto"/>
              <w:bottom w:val="single" w:sz="4" w:space="0" w:color="auto"/>
              <w:right w:val="single" w:sz="4" w:space="0" w:color="auto"/>
            </w:tcBorders>
            <w:shd w:val="clear" w:color="auto" w:fill="auto"/>
            <w:vAlign w:val="bottom"/>
          </w:tcPr>
          <w:p w:rsidR="00E410C9" w:rsidRPr="00E410C9" w:rsidRDefault="0087656B" w:rsidP="0087656B">
            <w:pPr>
              <w:jc w:val="right"/>
              <w:rPr>
                <w:rFonts w:ascii="Times New Roman" w:hAnsi="Times New Roman" w:cs="Times New Roman"/>
                <w:i/>
              </w:rPr>
            </w:pPr>
            <w:r w:rsidRPr="0087656B">
              <w:rPr>
                <w:rFonts w:ascii="Times New Roman" w:hAnsi="Times New Roman" w:cs="Times New Roman"/>
                <w:i/>
              </w:rPr>
              <w:t>S</w:t>
            </w:r>
            <w:r>
              <w:rPr>
                <w:rFonts w:ascii="Times New Roman" w:hAnsi="Times New Roman" w:cs="Times New Roman"/>
                <w:i/>
              </w:rPr>
              <w:t>pearman correlation coefficient</w:t>
            </w:r>
          </w:p>
        </w:tc>
        <w:tc>
          <w:tcPr>
            <w:tcW w:w="3012" w:type="dxa"/>
            <w:tcBorders>
              <w:top w:val="single" w:sz="4" w:space="0" w:color="auto"/>
              <w:left w:val="single" w:sz="4" w:space="0" w:color="auto"/>
              <w:bottom w:val="single" w:sz="4" w:space="0" w:color="auto"/>
            </w:tcBorders>
            <w:shd w:val="clear" w:color="auto" w:fill="auto"/>
          </w:tcPr>
          <w:p w:rsidR="00E410C9" w:rsidRPr="00E410C9" w:rsidRDefault="00E410C9" w:rsidP="004A3256">
            <w:pPr>
              <w:jc w:val="center"/>
              <w:rPr>
                <w:rFonts w:ascii="Times New Roman" w:hAnsi="Times New Roman" w:cs="Times New Roman"/>
              </w:rPr>
            </w:pPr>
            <w:r w:rsidRPr="00E410C9">
              <w:rPr>
                <w:rFonts w:ascii="Times New Roman" w:hAnsi="Times New Roman" w:cs="Times New Roman"/>
              </w:rPr>
              <w:t>Percentage of days that clothing was worn for at least some of the day</w:t>
            </w:r>
          </w:p>
          <w:p w:rsidR="00E410C9" w:rsidRPr="00E410C9" w:rsidRDefault="00E410C9" w:rsidP="004A3256">
            <w:pPr>
              <w:jc w:val="center"/>
              <w:rPr>
                <w:rFonts w:ascii="Times New Roman" w:hAnsi="Times New Roman" w:cs="Times New Roman"/>
                <w:i/>
              </w:rPr>
            </w:pPr>
            <w:r w:rsidRPr="00E410C9">
              <w:rPr>
                <w:rFonts w:ascii="Times New Roman" w:hAnsi="Times New Roman" w:cs="Times New Roman"/>
              </w:rPr>
              <w:t>n=124</w:t>
            </w:r>
          </w:p>
        </w:tc>
        <w:tc>
          <w:tcPr>
            <w:tcW w:w="3012" w:type="dxa"/>
            <w:tcBorders>
              <w:top w:val="single" w:sz="4" w:space="0" w:color="auto"/>
              <w:bottom w:val="single" w:sz="4" w:space="0" w:color="auto"/>
            </w:tcBorders>
            <w:shd w:val="clear" w:color="auto" w:fill="auto"/>
          </w:tcPr>
          <w:p w:rsidR="00E410C9" w:rsidRPr="00E410C9" w:rsidRDefault="00E410C9" w:rsidP="004A3256">
            <w:pPr>
              <w:jc w:val="center"/>
              <w:rPr>
                <w:rFonts w:ascii="Times New Roman" w:hAnsi="Times New Roman" w:cs="Times New Roman"/>
              </w:rPr>
            </w:pPr>
            <w:r w:rsidRPr="00E410C9">
              <w:rPr>
                <w:rFonts w:ascii="Times New Roman" w:hAnsi="Times New Roman" w:cs="Times New Roman"/>
              </w:rPr>
              <w:t>Percentage of nights that clothing was worn for at least some of the night</w:t>
            </w:r>
          </w:p>
          <w:p w:rsidR="00E410C9" w:rsidRPr="00E410C9" w:rsidRDefault="00E410C9" w:rsidP="004A3256">
            <w:pPr>
              <w:jc w:val="center"/>
              <w:rPr>
                <w:rFonts w:ascii="Times New Roman" w:hAnsi="Times New Roman" w:cs="Times New Roman"/>
                <w:i/>
              </w:rPr>
            </w:pPr>
            <w:r w:rsidRPr="00E410C9">
              <w:rPr>
                <w:rFonts w:ascii="Times New Roman" w:hAnsi="Times New Roman" w:cs="Times New Roman"/>
              </w:rPr>
              <w:t>n=124</w:t>
            </w:r>
          </w:p>
        </w:tc>
      </w:tr>
      <w:tr w:rsidR="00E410C9" w:rsidTr="00E410C9">
        <w:tc>
          <w:tcPr>
            <w:tcW w:w="3002" w:type="dxa"/>
            <w:tcBorders>
              <w:top w:val="single" w:sz="4" w:space="0" w:color="auto"/>
              <w:right w:val="single" w:sz="4" w:space="0" w:color="auto"/>
            </w:tcBorders>
            <w:shd w:val="clear" w:color="auto" w:fill="auto"/>
          </w:tcPr>
          <w:p w:rsidR="00E410C9" w:rsidRPr="00E410C9" w:rsidRDefault="00E410C9" w:rsidP="004A3256">
            <w:pPr>
              <w:jc w:val="right"/>
              <w:rPr>
                <w:rFonts w:ascii="Times New Roman" w:hAnsi="Times New Roman" w:cs="Times New Roman"/>
              </w:rPr>
            </w:pPr>
            <w:r w:rsidRPr="00E410C9">
              <w:rPr>
                <w:rFonts w:ascii="Times New Roman" w:hAnsi="Times New Roman" w:cs="Times New Roman"/>
              </w:rPr>
              <w:t>Age</w:t>
            </w:r>
          </w:p>
        </w:tc>
        <w:tc>
          <w:tcPr>
            <w:tcW w:w="3012" w:type="dxa"/>
            <w:tcBorders>
              <w:top w:val="single" w:sz="4" w:space="0" w:color="auto"/>
              <w:left w:val="single" w:sz="4" w:space="0" w:color="auto"/>
            </w:tcBorders>
          </w:tcPr>
          <w:p w:rsidR="00E410C9" w:rsidRPr="00E410C9" w:rsidRDefault="00E410C9" w:rsidP="004A3256">
            <w:pPr>
              <w:jc w:val="center"/>
              <w:rPr>
                <w:rFonts w:ascii="Times New Roman" w:hAnsi="Times New Roman" w:cs="Times New Roman"/>
              </w:rPr>
            </w:pPr>
            <w:r w:rsidRPr="00E410C9">
              <w:rPr>
                <w:rFonts w:ascii="Times New Roman" w:hAnsi="Times New Roman" w:cs="Times New Roman"/>
              </w:rPr>
              <w:t>0.003</w:t>
            </w:r>
          </w:p>
        </w:tc>
        <w:tc>
          <w:tcPr>
            <w:tcW w:w="3012" w:type="dxa"/>
            <w:tcBorders>
              <w:top w:val="single" w:sz="4" w:space="0" w:color="auto"/>
            </w:tcBorders>
          </w:tcPr>
          <w:p w:rsidR="00E410C9" w:rsidRPr="00E410C9" w:rsidRDefault="00E410C9" w:rsidP="004A3256">
            <w:pPr>
              <w:jc w:val="center"/>
              <w:rPr>
                <w:rFonts w:ascii="Times New Roman" w:hAnsi="Times New Roman" w:cs="Times New Roman"/>
              </w:rPr>
            </w:pPr>
            <w:r w:rsidRPr="00E410C9">
              <w:rPr>
                <w:rFonts w:ascii="Times New Roman" w:hAnsi="Times New Roman" w:cs="Times New Roman"/>
              </w:rPr>
              <w:t>0.20</w:t>
            </w:r>
          </w:p>
        </w:tc>
      </w:tr>
      <w:tr w:rsidR="00E410C9" w:rsidTr="00E410C9">
        <w:tc>
          <w:tcPr>
            <w:tcW w:w="3002" w:type="dxa"/>
            <w:tcBorders>
              <w:right w:val="single" w:sz="4" w:space="0" w:color="auto"/>
            </w:tcBorders>
            <w:shd w:val="clear" w:color="auto" w:fill="auto"/>
          </w:tcPr>
          <w:p w:rsidR="00E410C9" w:rsidRPr="00E410C9" w:rsidRDefault="00E410C9" w:rsidP="004A3256">
            <w:pPr>
              <w:jc w:val="right"/>
              <w:rPr>
                <w:rFonts w:ascii="Times New Roman" w:hAnsi="Times New Roman" w:cs="Times New Roman"/>
              </w:rPr>
            </w:pPr>
            <w:r w:rsidRPr="00E410C9">
              <w:rPr>
                <w:rFonts w:ascii="Times New Roman" w:hAnsi="Times New Roman" w:cs="Times New Roman"/>
              </w:rPr>
              <w:t>Baseline EASI score</w:t>
            </w:r>
          </w:p>
        </w:tc>
        <w:tc>
          <w:tcPr>
            <w:tcW w:w="3012" w:type="dxa"/>
            <w:tcBorders>
              <w:left w:val="single" w:sz="4" w:space="0" w:color="auto"/>
            </w:tcBorders>
          </w:tcPr>
          <w:p w:rsidR="00E410C9" w:rsidRPr="00E410C9" w:rsidRDefault="00E410C9" w:rsidP="004A3256">
            <w:pPr>
              <w:jc w:val="center"/>
              <w:rPr>
                <w:rFonts w:ascii="Times New Roman" w:hAnsi="Times New Roman" w:cs="Times New Roman"/>
              </w:rPr>
            </w:pPr>
            <w:r w:rsidRPr="00E410C9">
              <w:rPr>
                <w:rFonts w:ascii="Times New Roman" w:hAnsi="Times New Roman" w:cs="Times New Roman"/>
              </w:rPr>
              <w:t>-0.03</w:t>
            </w:r>
          </w:p>
        </w:tc>
        <w:tc>
          <w:tcPr>
            <w:tcW w:w="3012" w:type="dxa"/>
          </w:tcPr>
          <w:p w:rsidR="00E410C9" w:rsidRPr="00E410C9" w:rsidRDefault="00E410C9" w:rsidP="004A3256">
            <w:pPr>
              <w:jc w:val="center"/>
              <w:rPr>
                <w:rFonts w:ascii="Times New Roman" w:hAnsi="Times New Roman" w:cs="Times New Roman"/>
              </w:rPr>
            </w:pPr>
            <w:r w:rsidRPr="00E410C9">
              <w:rPr>
                <w:rFonts w:ascii="Times New Roman" w:hAnsi="Times New Roman" w:cs="Times New Roman"/>
              </w:rPr>
              <w:t>0.03</w:t>
            </w:r>
          </w:p>
        </w:tc>
      </w:tr>
      <w:tr w:rsidR="00E410C9" w:rsidTr="00E410C9">
        <w:tc>
          <w:tcPr>
            <w:tcW w:w="3002" w:type="dxa"/>
            <w:tcBorders>
              <w:bottom w:val="single" w:sz="4" w:space="0" w:color="auto"/>
              <w:right w:val="single" w:sz="4" w:space="0" w:color="auto"/>
            </w:tcBorders>
            <w:shd w:val="clear" w:color="auto" w:fill="auto"/>
          </w:tcPr>
          <w:p w:rsidR="00E410C9" w:rsidRPr="00E410C9" w:rsidRDefault="00E410C9" w:rsidP="004A3256">
            <w:pPr>
              <w:jc w:val="right"/>
              <w:rPr>
                <w:rFonts w:ascii="Times New Roman" w:hAnsi="Times New Roman" w:cs="Times New Roman"/>
              </w:rPr>
            </w:pPr>
            <w:r w:rsidRPr="00E410C9">
              <w:rPr>
                <w:rFonts w:ascii="Times New Roman" w:hAnsi="Times New Roman" w:cs="Times New Roman"/>
              </w:rPr>
              <w:t xml:space="preserve">Baseline POEM score </w:t>
            </w:r>
          </w:p>
        </w:tc>
        <w:tc>
          <w:tcPr>
            <w:tcW w:w="3012" w:type="dxa"/>
            <w:tcBorders>
              <w:left w:val="single" w:sz="4" w:space="0" w:color="auto"/>
              <w:bottom w:val="single" w:sz="4" w:space="0" w:color="auto"/>
            </w:tcBorders>
          </w:tcPr>
          <w:p w:rsidR="00E410C9" w:rsidRPr="00E410C9" w:rsidRDefault="00E410C9" w:rsidP="004A3256">
            <w:pPr>
              <w:jc w:val="center"/>
              <w:rPr>
                <w:rFonts w:ascii="Times New Roman" w:hAnsi="Times New Roman" w:cs="Times New Roman"/>
              </w:rPr>
            </w:pPr>
            <w:r w:rsidRPr="00E410C9">
              <w:rPr>
                <w:rFonts w:ascii="Times New Roman" w:hAnsi="Times New Roman" w:cs="Times New Roman"/>
              </w:rPr>
              <w:t>0.08</w:t>
            </w:r>
          </w:p>
        </w:tc>
        <w:tc>
          <w:tcPr>
            <w:tcW w:w="3012" w:type="dxa"/>
            <w:tcBorders>
              <w:bottom w:val="single" w:sz="4" w:space="0" w:color="auto"/>
            </w:tcBorders>
          </w:tcPr>
          <w:p w:rsidR="00E410C9" w:rsidRPr="00E410C9" w:rsidRDefault="00E410C9" w:rsidP="004A3256">
            <w:pPr>
              <w:jc w:val="center"/>
              <w:rPr>
                <w:rFonts w:ascii="Times New Roman" w:hAnsi="Times New Roman" w:cs="Times New Roman"/>
              </w:rPr>
            </w:pPr>
            <w:r w:rsidRPr="00E410C9">
              <w:rPr>
                <w:rFonts w:ascii="Times New Roman" w:hAnsi="Times New Roman" w:cs="Times New Roman"/>
              </w:rPr>
              <w:t>0.13</w:t>
            </w:r>
          </w:p>
        </w:tc>
      </w:tr>
    </w:tbl>
    <w:p w:rsidR="00E410C9" w:rsidRPr="004A3256" w:rsidRDefault="00E410C9" w:rsidP="00E410C9">
      <w:pPr>
        <w:rPr>
          <w:rFonts w:ascii="Times New Roman" w:hAnsi="Times New Roman" w:cs="Times New Roman"/>
          <w:noProof/>
          <w:szCs w:val="20"/>
        </w:rPr>
      </w:pPr>
      <w:r w:rsidRPr="004A3256">
        <w:rPr>
          <w:rFonts w:ascii="Times New Roman" w:hAnsi="Times New Roman" w:cs="Times New Roman"/>
          <w:noProof/>
          <w:szCs w:val="20"/>
        </w:rPr>
        <w:t xml:space="preserve">Spearman correlation coefficients range between -1 (perfect negative correlation) and 1 (perfect postive correlation). Correlation coefficient of 0 indicates no correlation. </w:t>
      </w:r>
    </w:p>
    <w:p w:rsidR="00FD2AB7" w:rsidRPr="006527E4" w:rsidRDefault="00FD2AB7" w:rsidP="00FD2AB7">
      <w:pPr>
        <w:rPr>
          <w:rFonts w:ascii="Times New Roman" w:hAnsi="Times New Roman" w:cs="Times New Roman"/>
          <w:i/>
        </w:rPr>
      </w:pPr>
    </w:p>
    <w:p w:rsidR="00F241E0" w:rsidRDefault="00F241E0" w:rsidP="00FD2AB7">
      <w:pPr>
        <w:spacing w:after="160" w:line="259" w:lineRule="auto"/>
        <w:rPr>
          <w:i/>
        </w:rPr>
      </w:pPr>
      <w:bookmarkStart w:id="0" w:name="_GoBack"/>
      <w:bookmarkEnd w:id="0"/>
    </w:p>
    <w:p w:rsidR="00EA5AC8" w:rsidRDefault="00EA5AC8" w:rsidP="00EA5AC8">
      <w:pPr>
        <w:rPr>
          <w:rFonts w:ascii="Times New Roman" w:hAnsi="Times New Roman" w:cs="Times New Roman"/>
          <w:b/>
          <w:szCs w:val="20"/>
        </w:rPr>
      </w:pPr>
      <w:bookmarkStart w:id="1" w:name="_Ref453663988"/>
      <w:bookmarkStart w:id="2" w:name="_Toc461202859"/>
      <w:r>
        <w:rPr>
          <w:rFonts w:ascii="Times New Roman" w:hAnsi="Times New Roman" w:cs="Times New Roman"/>
          <w:b/>
          <w:szCs w:val="20"/>
        </w:rPr>
        <w:t>Sensitivity analysis - a</w:t>
      </w:r>
      <w:r w:rsidRPr="00EA5AC8">
        <w:rPr>
          <w:rFonts w:ascii="Times New Roman" w:hAnsi="Times New Roman" w:cs="Times New Roman"/>
          <w:b/>
          <w:szCs w:val="20"/>
        </w:rPr>
        <w:t xml:space="preserve">dherence with trial garments </w:t>
      </w:r>
      <w:bookmarkEnd w:id="1"/>
      <w:bookmarkEnd w:id="2"/>
      <w:r>
        <w:rPr>
          <w:rFonts w:ascii="Times New Roman" w:hAnsi="Times New Roman" w:cs="Times New Roman"/>
          <w:b/>
          <w:szCs w:val="20"/>
        </w:rPr>
        <w:t>making assumptions for missing data</w:t>
      </w:r>
    </w:p>
    <w:p w:rsidR="00EA5AC8" w:rsidRPr="00EA5AC8" w:rsidRDefault="00EA5AC8" w:rsidP="00EA5AC8">
      <w:pPr>
        <w:rPr>
          <w:rFonts w:ascii="Times New Roman" w:hAnsi="Times New Roman" w:cs="Times New Roman"/>
          <w:b/>
          <w:szCs w:val="20"/>
        </w:rPr>
      </w:pPr>
    </w:p>
    <w:tbl>
      <w:tblPr>
        <w:tblW w:w="9924" w:type="dxa"/>
        <w:tblInd w:w="-318" w:type="dxa"/>
        <w:tblLook w:val="04A0" w:firstRow="1" w:lastRow="0" w:firstColumn="1" w:lastColumn="0" w:noHBand="0" w:noVBand="1"/>
      </w:tblPr>
      <w:tblGrid>
        <w:gridCol w:w="3545"/>
        <w:gridCol w:w="2126"/>
        <w:gridCol w:w="2126"/>
        <w:gridCol w:w="2127"/>
      </w:tblGrid>
      <w:tr w:rsidR="00EA5AC8" w:rsidRPr="00902CCC" w:rsidTr="00E56A16">
        <w:tc>
          <w:tcPr>
            <w:tcW w:w="3545" w:type="dxa"/>
            <w:tcBorders>
              <w:top w:val="single" w:sz="4" w:space="0" w:color="auto"/>
              <w:left w:val="nil"/>
              <w:bottom w:val="single" w:sz="4" w:space="0" w:color="auto"/>
              <w:right w:val="nil"/>
            </w:tcBorders>
          </w:tcPr>
          <w:p w:rsidR="00EA5AC8" w:rsidRPr="00902CCC" w:rsidRDefault="00EA5AC8" w:rsidP="00E56A16"/>
        </w:tc>
        <w:tc>
          <w:tcPr>
            <w:tcW w:w="2126" w:type="dxa"/>
            <w:tcBorders>
              <w:top w:val="single" w:sz="4" w:space="0" w:color="auto"/>
              <w:left w:val="nil"/>
              <w:bottom w:val="single" w:sz="4" w:space="0" w:color="auto"/>
              <w:right w:val="nil"/>
            </w:tcBorders>
            <w:hideMark/>
          </w:tcPr>
          <w:p w:rsidR="00EA5AC8" w:rsidRPr="00902CCC" w:rsidRDefault="00EA5AC8" w:rsidP="00E56A16">
            <w:pPr>
              <w:jc w:val="center"/>
            </w:pPr>
            <w:r w:rsidRPr="00902CCC">
              <w:t xml:space="preserve">Main analysis </w:t>
            </w:r>
          </w:p>
          <w:p w:rsidR="00EA5AC8" w:rsidRPr="00902CCC" w:rsidRDefault="00EA5AC8" w:rsidP="00E56A16">
            <w:pPr>
              <w:jc w:val="center"/>
              <w:rPr>
                <w:vertAlign w:val="superscript"/>
              </w:rPr>
            </w:pPr>
            <w:r w:rsidRPr="00902CCC">
              <w:t>(participants with 12 or more questionnaire completed )</w:t>
            </w:r>
          </w:p>
          <w:p w:rsidR="00EA5AC8" w:rsidRPr="00902CCC" w:rsidRDefault="00EA5AC8" w:rsidP="00E56A16">
            <w:pPr>
              <w:jc w:val="center"/>
            </w:pPr>
            <w:r w:rsidRPr="00902CCC">
              <w:t xml:space="preserve"> (n = 124)</w:t>
            </w:r>
          </w:p>
        </w:tc>
        <w:tc>
          <w:tcPr>
            <w:tcW w:w="2126" w:type="dxa"/>
            <w:tcBorders>
              <w:top w:val="single" w:sz="4" w:space="0" w:color="auto"/>
              <w:left w:val="nil"/>
              <w:bottom w:val="single" w:sz="4" w:space="0" w:color="auto"/>
              <w:right w:val="nil"/>
            </w:tcBorders>
            <w:vAlign w:val="bottom"/>
          </w:tcPr>
          <w:p w:rsidR="00EA5AC8" w:rsidRPr="00902CCC" w:rsidRDefault="00EA5AC8" w:rsidP="00E56A16">
            <w:pPr>
              <w:jc w:val="center"/>
              <w:rPr>
                <w:vertAlign w:val="superscript"/>
              </w:rPr>
            </w:pPr>
            <w:r w:rsidRPr="00902CCC">
              <w:t>Sensitivity analysis 1</w:t>
            </w:r>
            <w:r w:rsidRPr="00EA5AC8">
              <w:rPr>
                <w:vertAlign w:val="superscript"/>
              </w:rPr>
              <w:t>$</w:t>
            </w:r>
          </w:p>
          <w:p w:rsidR="00EA5AC8" w:rsidRPr="00902CCC" w:rsidRDefault="00EA5AC8" w:rsidP="00E56A16">
            <w:pPr>
              <w:jc w:val="center"/>
              <w:rPr>
                <w:vertAlign w:val="superscript"/>
              </w:rPr>
            </w:pPr>
            <w:r w:rsidRPr="00902CCC">
              <w:t>(n = 149)</w:t>
            </w:r>
          </w:p>
        </w:tc>
        <w:tc>
          <w:tcPr>
            <w:tcW w:w="2127" w:type="dxa"/>
            <w:tcBorders>
              <w:top w:val="single" w:sz="4" w:space="0" w:color="auto"/>
              <w:left w:val="nil"/>
              <w:bottom w:val="single" w:sz="4" w:space="0" w:color="auto"/>
              <w:right w:val="nil"/>
            </w:tcBorders>
            <w:vAlign w:val="bottom"/>
          </w:tcPr>
          <w:p w:rsidR="00EA5AC8" w:rsidRPr="00902CCC" w:rsidRDefault="00EA5AC8" w:rsidP="00E56A16">
            <w:pPr>
              <w:jc w:val="center"/>
              <w:rPr>
                <w:vertAlign w:val="superscript"/>
              </w:rPr>
            </w:pPr>
            <w:r w:rsidRPr="00902CCC">
              <w:t>Sensitivity analysis 2</w:t>
            </w:r>
            <w:r>
              <w:t>^</w:t>
            </w:r>
          </w:p>
          <w:p w:rsidR="00EA5AC8" w:rsidRPr="00902CCC" w:rsidRDefault="00EA5AC8" w:rsidP="00E56A16">
            <w:pPr>
              <w:jc w:val="center"/>
            </w:pPr>
            <w:r w:rsidRPr="00902CCC">
              <w:t>(n = 149)</w:t>
            </w:r>
          </w:p>
        </w:tc>
      </w:tr>
      <w:tr w:rsidR="00EA5AC8" w:rsidRPr="00902CCC" w:rsidTr="00E56A16">
        <w:tc>
          <w:tcPr>
            <w:tcW w:w="3545" w:type="dxa"/>
            <w:tcBorders>
              <w:top w:val="single" w:sz="4" w:space="0" w:color="auto"/>
              <w:left w:val="nil"/>
              <w:bottom w:val="nil"/>
              <w:right w:val="nil"/>
            </w:tcBorders>
          </w:tcPr>
          <w:p w:rsidR="00EA5AC8" w:rsidRPr="00902CCC" w:rsidRDefault="00EA5AC8" w:rsidP="00E56A16"/>
        </w:tc>
        <w:tc>
          <w:tcPr>
            <w:tcW w:w="2126" w:type="dxa"/>
            <w:tcBorders>
              <w:top w:val="single" w:sz="4" w:space="0" w:color="auto"/>
              <w:left w:val="nil"/>
              <w:bottom w:val="nil"/>
              <w:right w:val="nil"/>
            </w:tcBorders>
          </w:tcPr>
          <w:p w:rsidR="00EA5AC8" w:rsidRPr="00902CCC" w:rsidRDefault="00EA5AC8" w:rsidP="00E56A16">
            <w:pPr>
              <w:jc w:val="center"/>
            </w:pPr>
          </w:p>
        </w:tc>
        <w:tc>
          <w:tcPr>
            <w:tcW w:w="2126" w:type="dxa"/>
            <w:tcBorders>
              <w:top w:val="single" w:sz="4" w:space="0" w:color="auto"/>
              <w:left w:val="nil"/>
              <w:bottom w:val="nil"/>
              <w:right w:val="nil"/>
            </w:tcBorders>
          </w:tcPr>
          <w:p w:rsidR="00EA5AC8" w:rsidRPr="00902CCC" w:rsidRDefault="00EA5AC8" w:rsidP="00E56A16">
            <w:pPr>
              <w:jc w:val="center"/>
            </w:pPr>
          </w:p>
        </w:tc>
        <w:tc>
          <w:tcPr>
            <w:tcW w:w="2127" w:type="dxa"/>
            <w:tcBorders>
              <w:top w:val="single" w:sz="4" w:space="0" w:color="auto"/>
              <w:left w:val="nil"/>
              <w:bottom w:val="nil"/>
              <w:right w:val="nil"/>
            </w:tcBorders>
          </w:tcPr>
          <w:p w:rsidR="00EA5AC8" w:rsidRPr="00902CCC" w:rsidRDefault="00EA5AC8" w:rsidP="00E56A16">
            <w:pPr>
              <w:jc w:val="center"/>
            </w:pPr>
          </w:p>
        </w:tc>
      </w:tr>
      <w:tr w:rsidR="00EA5AC8" w:rsidRPr="00902CCC" w:rsidTr="00E56A16">
        <w:tc>
          <w:tcPr>
            <w:tcW w:w="3545" w:type="dxa"/>
          </w:tcPr>
          <w:p w:rsidR="00EA5AC8" w:rsidRPr="00902CCC" w:rsidRDefault="00EA5AC8" w:rsidP="00E56A16">
            <w:r w:rsidRPr="00902CCC">
              <w:t>Pr</w:t>
            </w:r>
            <w:r>
              <w:t>oportion of nights that garments were</w:t>
            </w:r>
            <w:r w:rsidRPr="00902CCC">
              <w:t xml:space="preserve"> worn for at least some of the night</w:t>
            </w:r>
          </w:p>
        </w:tc>
        <w:tc>
          <w:tcPr>
            <w:tcW w:w="2126" w:type="dxa"/>
          </w:tcPr>
          <w:p w:rsidR="00EA5AC8" w:rsidRPr="00902CCC" w:rsidRDefault="00EA5AC8" w:rsidP="00E56A16">
            <w:pPr>
              <w:jc w:val="center"/>
            </w:pPr>
          </w:p>
        </w:tc>
        <w:tc>
          <w:tcPr>
            <w:tcW w:w="2126" w:type="dxa"/>
          </w:tcPr>
          <w:p w:rsidR="00EA5AC8" w:rsidRPr="00902CCC" w:rsidRDefault="00EA5AC8" w:rsidP="00E56A16">
            <w:pPr>
              <w:jc w:val="center"/>
            </w:pPr>
          </w:p>
        </w:tc>
        <w:tc>
          <w:tcPr>
            <w:tcW w:w="2127" w:type="dxa"/>
          </w:tcPr>
          <w:p w:rsidR="00EA5AC8" w:rsidRPr="00902CCC" w:rsidRDefault="00EA5AC8" w:rsidP="00E56A16">
            <w:pPr>
              <w:jc w:val="center"/>
            </w:pPr>
          </w:p>
        </w:tc>
      </w:tr>
      <w:tr w:rsidR="00EA5AC8" w:rsidRPr="00902CCC" w:rsidTr="00E56A16">
        <w:tc>
          <w:tcPr>
            <w:tcW w:w="3545" w:type="dxa"/>
          </w:tcPr>
          <w:p w:rsidR="00EA5AC8" w:rsidRPr="00902CCC" w:rsidRDefault="00EA5AC8" w:rsidP="00E56A16">
            <w:pPr>
              <w:jc w:val="right"/>
            </w:pPr>
            <w:r w:rsidRPr="00902CCC">
              <w:t>Median [25</w:t>
            </w:r>
            <w:r w:rsidRPr="00902CCC">
              <w:rPr>
                <w:vertAlign w:val="superscript"/>
              </w:rPr>
              <w:t>th</w:t>
            </w:r>
            <w:r w:rsidRPr="00902CCC">
              <w:t>, 75</w:t>
            </w:r>
            <w:r w:rsidRPr="00902CCC">
              <w:rPr>
                <w:vertAlign w:val="superscript"/>
              </w:rPr>
              <w:t>th</w:t>
            </w:r>
            <w:r w:rsidRPr="00902CCC">
              <w:t xml:space="preserve"> centile]</w:t>
            </w:r>
          </w:p>
        </w:tc>
        <w:tc>
          <w:tcPr>
            <w:tcW w:w="2126" w:type="dxa"/>
            <w:vAlign w:val="bottom"/>
          </w:tcPr>
          <w:p w:rsidR="00EA5AC8" w:rsidRPr="00902CCC" w:rsidRDefault="00EA5AC8" w:rsidP="00E56A16">
            <w:pPr>
              <w:jc w:val="center"/>
            </w:pPr>
            <w:r w:rsidRPr="00902CCC">
              <w:rPr>
                <w:color w:val="000000"/>
              </w:rPr>
              <w:t>80.7 [56.8, 95.9]</w:t>
            </w:r>
          </w:p>
        </w:tc>
        <w:tc>
          <w:tcPr>
            <w:tcW w:w="2126" w:type="dxa"/>
            <w:vAlign w:val="bottom"/>
          </w:tcPr>
          <w:p w:rsidR="00EA5AC8" w:rsidRPr="00902CCC" w:rsidRDefault="00EA5AC8" w:rsidP="00E56A16">
            <w:pPr>
              <w:jc w:val="center"/>
            </w:pPr>
            <w:r w:rsidRPr="00902CCC">
              <w:rPr>
                <w:color w:val="000000"/>
              </w:rPr>
              <w:t>74.4 [52.1, 94.8]</w:t>
            </w:r>
          </w:p>
        </w:tc>
        <w:tc>
          <w:tcPr>
            <w:tcW w:w="2127" w:type="dxa"/>
            <w:vAlign w:val="bottom"/>
          </w:tcPr>
          <w:p w:rsidR="00EA5AC8" w:rsidRPr="00902CCC" w:rsidRDefault="00EA5AC8" w:rsidP="00E56A16">
            <w:pPr>
              <w:jc w:val="center"/>
            </w:pPr>
            <w:r w:rsidRPr="00902CCC">
              <w:rPr>
                <w:color w:val="000000"/>
              </w:rPr>
              <w:t>61.5 [32.9, 87]</w:t>
            </w:r>
          </w:p>
        </w:tc>
      </w:tr>
      <w:tr w:rsidR="00EA5AC8" w:rsidRPr="00902CCC" w:rsidTr="00E56A16">
        <w:tc>
          <w:tcPr>
            <w:tcW w:w="3545" w:type="dxa"/>
          </w:tcPr>
          <w:p w:rsidR="00EA5AC8" w:rsidRPr="00902CCC" w:rsidRDefault="00EA5AC8" w:rsidP="00E56A16"/>
        </w:tc>
        <w:tc>
          <w:tcPr>
            <w:tcW w:w="2126" w:type="dxa"/>
          </w:tcPr>
          <w:p w:rsidR="00EA5AC8" w:rsidRPr="00902CCC" w:rsidRDefault="00EA5AC8" w:rsidP="00E56A16">
            <w:pPr>
              <w:jc w:val="center"/>
            </w:pPr>
          </w:p>
        </w:tc>
        <w:tc>
          <w:tcPr>
            <w:tcW w:w="2126" w:type="dxa"/>
          </w:tcPr>
          <w:p w:rsidR="00EA5AC8" w:rsidRPr="00902CCC" w:rsidRDefault="00EA5AC8" w:rsidP="00E56A16">
            <w:pPr>
              <w:jc w:val="center"/>
            </w:pPr>
          </w:p>
        </w:tc>
        <w:tc>
          <w:tcPr>
            <w:tcW w:w="2127" w:type="dxa"/>
          </w:tcPr>
          <w:p w:rsidR="00EA5AC8" w:rsidRPr="00902CCC" w:rsidRDefault="00EA5AC8" w:rsidP="00E56A16">
            <w:pPr>
              <w:jc w:val="center"/>
            </w:pPr>
          </w:p>
        </w:tc>
      </w:tr>
      <w:tr w:rsidR="00EA5AC8" w:rsidRPr="00902CCC" w:rsidTr="00E56A16">
        <w:tc>
          <w:tcPr>
            <w:tcW w:w="3545" w:type="dxa"/>
            <w:hideMark/>
          </w:tcPr>
          <w:p w:rsidR="00EA5AC8" w:rsidRPr="00902CCC" w:rsidRDefault="00EA5AC8" w:rsidP="00E56A16">
            <w:pPr>
              <w:rPr>
                <w:vertAlign w:val="superscript"/>
              </w:rPr>
            </w:pPr>
            <w:r w:rsidRPr="00902CCC">
              <w:t>Perc</w:t>
            </w:r>
            <w:r>
              <w:t>entage of days that clothing were</w:t>
            </w:r>
            <w:r w:rsidRPr="00902CCC">
              <w:t xml:space="preserve"> worn for at least some of the day</w:t>
            </w:r>
          </w:p>
        </w:tc>
        <w:tc>
          <w:tcPr>
            <w:tcW w:w="2126" w:type="dxa"/>
          </w:tcPr>
          <w:p w:rsidR="00EA5AC8" w:rsidRPr="00902CCC" w:rsidRDefault="00EA5AC8" w:rsidP="00E56A16">
            <w:pPr>
              <w:jc w:val="center"/>
            </w:pPr>
          </w:p>
        </w:tc>
        <w:tc>
          <w:tcPr>
            <w:tcW w:w="2126" w:type="dxa"/>
          </w:tcPr>
          <w:p w:rsidR="00EA5AC8" w:rsidRPr="00902CCC" w:rsidRDefault="00EA5AC8" w:rsidP="00E56A16">
            <w:pPr>
              <w:jc w:val="center"/>
            </w:pPr>
          </w:p>
        </w:tc>
        <w:tc>
          <w:tcPr>
            <w:tcW w:w="2127" w:type="dxa"/>
          </w:tcPr>
          <w:p w:rsidR="00EA5AC8" w:rsidRPr="00902CCC" w:rsidRDefault="00EA5AC8" w:rsidP="00E56A16">
            <w:pPr>
              <w:jc w:val="center"/>
            </w:pPr>
          </w:p>
        </w:tc>
      </w:tr>
      <w:tr w:rsidR="00EA5AC8" w:rsidRPr="00902CCC" w:rsidTr="00E56A16">
        <w:tc>
          <w:tcPr>
            <w:tcW w:w="3545" w:type="dxa"/>
            <w:hideMark/>
          </w:tcPr>
          <w:p w:rsidR="00EA5AC8" w:rsidRPr="00902CCC" w:rsidRDefault="00EA5AC8" w:rsidP="00E56A16">
            <w:pPr>
              <w:jc w:val="right"/>
            </w:pPr>
            <w:r w:rsidRPr="00902CCC">
              <w:t>Median [25</w:t>
            </w:r>
            <w:r w:rsidRPr="00902CCC">
              <w:rPr>
                <w:vertAlign w:val="superscript"/>
              </w:rPr>
              <w:t>th</w:t>
            </w:r>
            <w:r w:rsidRPr="00902CCC">
              <w:t>, 75</w:t>
            </w:r>
            <w:r w:rsidRPr="00902CCC">
              <w:rPr>
                <w:vertAlign w:val="superscript"/>
              </w:rPr>
              <w:t>th</w:t>
            </w:r>
            <w:r w:rsidRPr="00902CCC">
              <w:t xml:space="preserve"> centile]</w:t>
            </w:r>
          </w:p>
        </w:tc>
        <w:tc>
          <w:tcPr>
            <w:tcW w:w="2126" w:type="dxa"/>
            <w:vAlign w:val="bottom"/>
            <w:hideMark/>
          </w:tcPr>
          <w:p w:rsidR="00EA5AC8" w:rsidRPr="00902CCC" w:rsidRDefault="00EA5AC8" w:rsidP="00E56A16">
            <w:pPr>
              <w:jc w:val="center"/>
              <w:rPr>
                <w:color w:val="000000"/>
              </w:rPr>
            </w:pPr>
            <w:r w:rsidRPr="00902CCC">
              <w:rPr>
                <w:color w:val="000000"/>
              </w:rPr>
              <w:t>34.1 [9.8, 75.9]</w:t>
            </w:r>
          </w:p>
        </w:tc>
        <w:tc>
          <w:tcPr>
            <w:tcW w:w="2126" w:type="dxa"/>
            <w:vAlign w:val="bottom"/>
          </w:tcPr>
          <w:p w:rsidR="00EA5AC8" w:rsidRPr="00902CCC" w:rsidRDefault="00EA5AC8" w:rsidP="00E56A16">
            <w:pPr>
              <w:jc w:val="center"/>
              <w:rPr>
                <w:color w:val="000000"/>
              </w:rPr>
            </w:pPr>
            <w:r w:rsidRPr="00902CCC">
              <w:rPr>
                <w:color w:val="000000"/>
              </w:rPr>
              <w:t>28.6 [3.7, 74.3]</w:t>
            </w:r>
          </w:p>
        </w:tc>
        <w:tc>
          <w:tcPr>
            <w:tcW w:w="2127" w:type="dxa"/>
            <w:vAlign w:val="bottom"/>
          </w:tcPr>
          <w:p w:rsidR="00EA5AC8" w:rsidRPr="00902CCC" w:rsidRDefault="00EA5AC8" w:rsidP="00E56A16">
            <w:pPr>
              <w:jc w:val="center"/>
              <w:rPr>
                <w:color w:val="000000"/>
              </w:rPr>
            </w:pPr>
            <w:r w:rsidRPr="00902CCC">
              <w:rPr>
                <w:color w:val="000000"/>
              </w:rPr>
              <w:t>19.3 [2.5, 63.4]</w:t>
            </w:r>
          </w:p>
        </w:tc>
      </w:tr>
      <w:tr w:rsidR="00EA5AC8" w:rsidRPr="00902CCC" w:rsidTr="00E56A16">
        <w:tc>
          <w:tcPr>
            <w:tcW w:w="3545" w:type="dxa"/>
          </w:tcPr>
          <w:p w:rsidR="00EA5AC8" w:rsidRPr="00902CCC" w:rsidRDefault="00EA5AC8" w:rsidP="00E56A16"/>
        </w:tc>
        <w:tc>
          <w:tcPr>
            <w:tcW w:w="2126" w:type="dxa"/>
          </w:tcPr>
          <w:p w:rsidR="00EA5AC8" w:rsidRPr="00902CCC" w:rsidRDefault="00EA5AC8" w:rsidP="00E56A16">
            <w:pPr>
              <w:jc w:val="center"/>
            </w:pPr>
          </w:p>
        </w:tc>
        <w:tc>
          <w:tcPr>
            <w:tcW w:w="2126" w:type="dxa"/>
          </w:tcPr>
          <w:p w:rsidR="00EA5AC8" w:rsidRPr="00902CCC" w:rsidRDefault="00EA5AC8" w:rsidP="00E56A16">
            <w:pPr>
              <w:jc w:val="center"/>
            </w:pPr>
          </w:p>
        </w:tc>
        <w:tc>
          <w:tcPr>
            <w:tcW w:w="2127" w:type="dxa"/>
          </w:tcPr>
          <w:p w:rsidR="00EA5AC8" w:rsidRPr="00902CCC" w:rsidRDefault="00EA5AC8" w:rsidP="00E56A16">
            <w:pPr>
              <w:jc w:val="center"/>
            </w:pPr>
          </w:p>
        </w:tc>
      </w:tr>
      <w:tr w:rsidR="00EA5AC8" w:rsidRPr="00902CCC" w:rsidTr="00E56A16">
        <w:tc>
          <w:tcPr>
            <w:tcW w:w="3545" w:type="dxa"/>
            <w:hideMark/>
          </w:tcPr>
          <w:p w:rsidR="00EA5AC8" w:rsidRPr="00902CCC" w:rsidRDefault="00EA5AC8" w:rsidP="00E56A16">
            <w:pPr>
              <w:rPr>
                <w:vertAlign w:val="superscript"/>
              </w:rPr>
            </w:pPr>
            <w:r>
              <w:t>Adherence with trial garments</w:t>
            </w:r>
          </w:p>
        </w:tc>
        <w:tc>
          <w:tcPr>
            <w:tcW w:w="2126" w:type="dxa"/>
          </w:tcPr>
          <w:p w:rsidR="00EA5AC8" w:rsidRPr="00902CCC" w:rsidRDefault="00EA5AC8" w:rsidP="00E56A16">
            <w:pPr>
              <w:jc w:val="center"/>
            </w:pPr>
          </w:p>
        </w:tc>
        <w:tc>
          <w:tcPr>
            <w:tcW w:w="2126" w:type="dxa"/>
          </w:tcPr>
          <w:p w:rsidR="00EA5AC8" w:rsidRPr="00902CCC" w:rsidRDefault="00EA5AC8" w:rsidP="00E56A16">
            <w:pPr>
              <w:jc w:val="center"/>
            </w:pPr>
          </w:p>
        </w:tc>
        <w:tc>
          <w:tcPr>
            <w:tcW w:w="2127" w:type="dxa"/>
          </w:tcPr>
          <w:p w:rsidR="00EA5AC8" w:rsidRPr="00902CCC" w:rsidRDefault="00EA5AC8" w:rsidP="00E56A16">
            <w:pPr>
              <w:jc w:val="center"/>
            </w:pPr>
          </w:p>
        </w:tc>
      </w:tr>
      <w:tr w:rsidR="00EA5AC8" w:rsidRPr="00902CCC" w:rsidTr="00E56A16">
        <w:tc>
          <w:tcPr>
            <w:tcW w:w="3545" w:type="dxa"/>
            <w:hideMark/>
          </w:tcPr>
          <w:p w:rsidR="00EA5AC8" w:rsidRPr="00902CCC" w:rsidRDefault="00EA5AC8" w:rsidP="00E56A16">
            <w:pPr>
              <w:jc w:val="right"/>
            </w:pPr>
            <w:proofErr w:type="spellStart"/>
            <w:r w:rsidRPr="00902CCC">
              <w:t>Adherent</w:t>
            </w:r>
            <w:r>
              <w:rPr>
                <w:sz w:val="24"/>
                <w:vertAlign w:val="superscript"/>
              </w:rPr>
              <w:t>a</w:t>
            </w:r>
            <w:proofErr w:type="spellEnd"/>
            <w:r>
              <w:t xml:space="preserve"> </w:t>
            </w:r>
          </w:p>
        </w:tc>
        <w:tc>
          <w:tcPr>
            <w:tcW w:w="2126" w:type="dxa"/>
            <w:vAlign w:val="bottom"/>
            <w:hideMark/>
          </w:tcPr>
          <w:p w:rsidR="00EA5AC8" w:rsidRPr="00902CCC" w:rsidRDefault="00EA5AC8" w:rsidP="00E56A16">
            <w:pPr>
              <w:jc w:val="center"/>
              <w:rPr>
                <w:b/>
                <w:color w:val="000000"/>
              </w:rPr>
            </w:pPr>
            <w:r w:rsidRPr="00902CCC">
              <w:rPr>
                <w:b/>
                <w:color w:val="000000"/>
              </w:rPr>
              <w:t>102 (82%)</w:t>
            </w:r>
          </w:p>
        </w:tc>
        <w:tc>
          <w:tcPr>
            <w:tcW w:w="2126" w:type="dxa"/>
            <w:vAlign w:val="bottom"/>
          </w:tcPr>
          <w:p w:rsidR="00EA5AC8" w:rsidRPr="00902CCC" w:rsidRDefault="00EA5AC8" w:rsidP="00E56A16">
            <w:pPr>
              <w:jc w:val="center"/>
              <w:rPr>
                <w:b/>
                <w:color w:val="000000"/>
              </w:rPr>
            </w:pPr>
            <w:r w:rsidRPr="00902CCC">
              <w:rPr>
                <w:b/>
                <w:color w:val="000000"/>
              </w:rPr>
              <w:t>117 (79%)</w:t>
            </w:r>
          </w:p>
        </w:tc>
        <w:tc>
          <w:tcPr>
            <w:tcW w:w="2127" w:type="dxa"/>
          </w:tcPr>
          <w:p w:rsidR="00EA5AC8" w:rsidRPr="00902CCC" w:rsidRDefault="00EA5AC8" w:rsidP="00E56A16">
            <w:pPr>
              <w:tabs>
                <w:tab w:val="left" w:pos="375"/>
                <w:tab w:val="center" w:pos="843"/>
              </w:tabs>
              <w:jc w:val="center"/>
              <w:rPr>
                <w:b/>
                <w:color w:val="000000"/>
              </w:rPr>
            </w:pPr>
            <w:r w:rsidRPr="00902CCC">
              <w:rPr>
                <w:b/>
                <w:color w:val="000000"/>
              </w:rPr>
              <w:t>87 (58%)</w:t>
            </w:r>
          </w:p>
        </w:tc>
      </w:tr>
      <w:tr w:rsidR="00EA5AC8" w:rsidRPr="00902CCC" w:rsidTr="00E56A16">
        <w:tc>
          <w:tcPr>
            <w:tcW w:w="3545" w:type="dxa"/>
            <w:hideMark/>
          </w:tcPr>
          <w:p w:rsidR="00EA5AC8" w:rsidRPr="00902CCC" w:rsidRDefault="00EA5AC8" w:rsidP="00E56A16">
            <w:pPr>
              <w:jc w:val="right"/>
              <w:rPr>
                <w:sz w:val="16"/>
              </w:rPr>
            </w:pPr>
            <w:r w:rsidRPr="00902CCC">
              <w:rPr>
                <w:sz w:val="16"/>
              </w:rPr>
              <w:t xml:space="preserve">Worn for at least 50% of days </w:t>
            </w:r>
            <w:r>
              <w:rPr>
                <w:sz w:val="16"/>
              </w:rPr>
              <w:t xml:space="preserve">&amp; 50% of </w:t>
            </w:r>
            <w:r w:rsidRPr="00902CCC">
              <w:rPr>
                <w:sz w:val="16"/>
              </w:rPr>
              <w:t xml:space="preserve"> nights</w:t>
            </w:r>
          </w:p>
        </w:tc>
        <w:tc>
          <w:tcPr>
            <w:tcW w:w="2126" w:type="dxa"/>
            <w:vAlign w:val="bottom"/>
            <w:hideMark/>
          </w:tcPr>
          <w:p w:rsidR="00EA5AC8" w:rsidRPr="00902CCC" w:rsidRDefault="00EA5AC8" w:rsidP="00E56A16">
            <w:pPr>
              <w:jc w:val="center"/>
              <w:rPr>
                <w:color w:val="000000"/>
              </w:rPr>
            </w:pPr>
            <w:r w:rsidRPr="00902CCC">
              <w:rPr>
                <w:color w:val="000000"/>
              </w:rPr>
              <w:t>50 (40%)</w:t>
            </w:r>
          </w:p>
        </w:tc>
        <w:tc>
          <w:tcPr>
            <w:tcW w:w="2126" w:type="dxa"/>
            <w:vAlign w:val="bottom"/>
          </w:tcPr>
          <w:p w:rsidR="00EA5AC8" w:rsidRPr="00902CCC" w:rsidRDefault="00EA5AC8" w:rsidP="00E56A16">
            <w:pPr>
              <w:jc w:val="center"/>
              <w:rPr>
                <w:color w:val="000000"/>
              </w:rPr>
            </w:pPr>
            <w:r w:rsidRPr="00902CCC">
              <w:rPr>
                <w:color w:val="000000"/>
              </w:rPr>
              <w:t>54 (36%)</w:t>
            </w:r>
          </w:p>
        </w:tc>
        <w:tc>
          <w:tcPr>
            <w:tcW w:w="2127" w:type="dxa"/>
            <w:vAlign w:val="bottom"/>
          </w:tcPr>
          <w:p w:rsidR="00EA5AC8" w:rsidRPr="00902CCC" w:rsidRDefault="00EA5AC8" w:rsidP="00E56A16">
            <w:pPr>
              <w:jc w:val="center"/>
              <w:rPr>
                <w:color w:val="000000"/>
              </w:rPr>
            </w:pPr>
            <w:r w:rsidRPr="00902CCC">
              <w:rPr>
                <w:color w:val="000000"/>
              </w:rPr>
              <w:t>45 (30%)</w:t>
            </w:r>
          </w:p>
        </w:tc>
      </w:tr>
      <w:tr w:rsidR="00EA5AC8" w:rsidRPr="00902CCC" w:rsidTr="00E56A16">
        <w:tc>
          <w:tcPr>
            <w:tcW w:w="3545" w:type="dxa"/>
            <w:hideMark/>
          </w:tcPr>
          <w:p w:rsidR="00EA5AC8" w:rsidRPr="00902CCC" w:rsidRDefault="00EA5AC8" w:rsidP="00E56A16">
            <w:pPr>
              <w:jc w:val="right"/>
              <w:rPr>
                <w:sz w:val="16"/>
              </w:rPr>
            </w:pPr>
            <w:r w:rsidRPr="00902CCC">
              <w:rPr>
                <w:sz w:val="16"/>
              </w:rPr>
              <w:t>Worn for at least 50% of days only</w:t>
            </w:r>
          </w:p>
        </w:tc>
        <w:tc>
          <w:tcPr>
            <w:tcW w:w="2126" w:type="dxa"/>
            <w:vAlign w:val="bottom"/>
            <w:hideMark/>
          </w:tcPr>
          <w:p w:rsidR="00EA5AC8" w:rsidRPr="00902CCC" w:rsidRDefault="00EA5AC8" w:rsidP="00E56A16">
            <w:pPr>
              <w:jc w:val="center"/>
              <w:rPr>
                <w:color w:val="000000"/>
              </w:rPr>
            </w:pPr>
            <w:r w:rsidRPr="00902CCC">
              <w:rPr>
                <w:color w:val="000000"/>
              </w:rPr>
              <w:t>-</w:t>
            </w:r>
          </w:p>
        </w:tc>
        <w:tc>
          <w:tcPr>
            <w:tcW w:w="2126" w:type="dxa"/>
            <w:vAlign w:val="bottom"/>
          </w:tcPr>
          <w:p w:rsidR="00EA5AC8" w:rsidRPr="00902CCC" w:rsidRDefault="00EA5AC8" w:rsidP="00E56A16">
            <w:pPr>
              <w:jc w:val="center"/>
              <w:rPr>
                <w:color w:val="000000"/>
              </w:rPr>
            </w:pPr>
            <w:r w:rsidRPr="00902CCC">
              <w:rPr>
                <w:color w:val="000000"/>
              </w:rPr>
              <w:t>1 (1%)</w:t>
            </w:r>
          </w:p>
        </w:tc>
        <w:tc>
          <w:tcPr>
            <w:tcW w:w="2127" w:type="dxa"/>
            <w:vAlign w:val="bottom"/>
          </w:tcPr>
          <w:p w:rsidR="00EA5AC8" w:rsidRPr="00902CCC" w:rsidRDefault="00EA5AC8" w:rsidP="00E56A16">
            <w:pPr>
              <w:jc w:val="center"/>
              <w:rPr>
                <w:color w:val="000000"/>
              </w:rPr>
            </w:pPr>
            <w:r w:rsidRPr="00902CCC">
              <w:rPr>
                <w:color w:val="000000"/>
              </w:rPr>
              <w:t>-</w:t>
            </w:r>
          </w:p>
        </w:tc>
      </w:tr>
      <w:tr w:rsidR="00EA5AC8" w:rsidRPr="00902CCC" w:rsidTr="00E56A16">
        <w:tc>
          <w:tcPr>
            <w:tcW w:w="3545" w:type="dxa"/>
            <w:hideMark/>
          </w:tcPr>
          <w:p w:rsidR="00EA5AC8" w:rsidRPr="00902CCC" w:rsidRDefault="00EA5AC8" w:rsidP="00E56A16">
            <w:pPr>
              <w:jc w:val="right"/>
              <w:rPr>
                <w:sz w:val="16"/>
              </w:rPr>
            </w:pPr>
            <w:r w:rsidRPr="00902CCC">
              <w:rPr>
                <w:sz w:val="16"/>
              </w:rPr>
              <w:t>Worn for at least 50% of nights only</w:t>
            </w:r>
          </w:p>
        </w:tc>
        <w:tc>
          <w:tcPr>
            <w:tcW w:w="2126" w:type="dxa"/>
            <w:hideMark/>
          </w:tcPr>
          <w:p w:rsidR="00EA5AC8" w:rsidRPr="00902CCC" w:rsidRDefault="00EA5AC8" w:rsidP="00E56A16">
            <w:pPr>
              <w:jc w:val="center"/>
            </w:pPr>
            <w:r w:rsidRPr="00902CCC">
              <w:rPr>
                <w:color w:val="000000"/>
              </w:rPr>
              <w:t>52 (42%)</w:t>
            </w:r>
          </w:p>
        </w:tc>
        <w:tc>
          <w:tcPr>
            <w:tcW w:w="2126" w:type="dxa"/>
            <w:vAlign w:val="bottom"/>
          </w:tcPr>
          <w:p w:rsidR="00EA5AC8" w:rsidRPr="00902CCC" w:rsidRDefault="00EA5AC8" w:rsidP="00E56A16">
            <w:pPr>
              <w:jc w:val="center"/>
              <w:rPr>
                <w:color w:val="000000"/>
              </w:rPr>
            </w:pPr>
            <w:r w:rsidRPr="00902CCC">
              <w:rPr>
                <w:color w:val="000000"/>
              </w:rPr>
              <w:t>62 (42%)</w:t>
            </w:r>
          </w:p>
        </w:tc>
        <w:tc>
          <w:tcPr>
            <w:tcW w:w="2127" w:type="dxa"/>
            <w:vAlign w:val="bottom"/>
          </w:tcPr>
          <w:p w:rsidR="00EA5AC8" w:rsidRPr="00902CCC" w:rsidRDefault="00EA5AC8" w:rsidP="00E56A16">
            <w:pPr>
              <w:jc w:val="center"/>
              <w:rPr>
                <w:color w:val="000000"/>
              </w:rPr>
            </w:pPr>
            <w:r w:rsidRPr="00902CCC">
              <w:rPr>
                <w:color w:val="000000"/>
              </w:rPr>
              <w:t>42 (28%)</w:t>
            </w:r>
          </w:p>
        </w:tc>
      </w:tr>
      <w:tr w:rsidR="00EA5AC8" w:rsidRPr="00902CCC" w:rsidTr="00E56A16">
        <w:tc>
          <w:tcPr>
            <w:tcW w:w="3545" w:type="dxa"/>
          </w:tcPr>
          <w:p w:rsidR="00EA5AC8" w:rsidRPr="00902CCC" w:rsidRDefault="00EA5AC8" w:rsidP="00E56A16">
            <w:pPr>
              <w:jc w:val="right"/>
            </w:pPr>
          </w:p>
        </w:tc>
        <w:tc>
          <w:tcPr>
            <w:tcW w:w="2126" w:type="dxa"/>
            <w:vAlign w:val="bottom"/>
          </w:tcPr>
          <w:p w:rsidR="00EA5AC8" w:rsidRPr="00902CCC" w:rsidRDefault="00EA5AC8" w:rsidP="00E56A16">
            <w:pPr>
              <w:jc w:val="center"/>
              <w:rPr>
                <w:color w:val="000000"/>
              </w:rPr>
            </w:pPr>
          </w:p>
        </w:tc>
        <w:tc>
          <w:tcPr>
            <w:tcW w:w="2126" w:type="dxa"/>
          </w:tcPr>
          <w:p w:rsidR="00EA5AC8" w:rsidRPr="00902CCC" w:rsidRDefault="00EA5AC8" w:rsidP="00E56A16">
            <w:pPr>
              <w:jc w:val="center"/>
              <w:rPr>
                <w:color w:val="000000"/>
              </w:rPr>
            </w:pPr>
          </w:p>
        </w:tc>
        <w:tc>
          <w:tcPr>
            <w:tcW w:w="2127" w:type="dxa"/>
          </w:tcPr>
          <w:p w:rsidR="00EA5AC8" w:rsidRPr="00902CCC" w:rsidRDefault="00EA5AC8" w:rsidP="00E56A16">
            <w:pPr>
              <w:jc w:val="center"/>
              <w:rPr>
                <w:color w:val="000000"/>
              </w:rPr>
            </w:pPr>
          </w:p>
        </w:tc>
      </w:tr>
      <w:tr w:rsidR="00EA5AC8" w:rsidRPr="00902CCC" w:rsidTr="00E56A16">
        <w:tc>
          <w:tcPr>
            <w:tcW w:w="3545" w:type="dxa"/>
            <w:hideMark/>
          </w:tcPr>
          <w:p w:rsidR="00EA5AC8" w:rsidRPr="00902CCC" w:rsidRDefault="00EA5AC8" w:rsidP="00E56A16">
            <w:pPr>
              <w:jc w:val="right"/>
            </w:pPr>
            <w:r w:rsidRPr="00902CCC">
              <w:t>Not adherent</w:t>
            </w:r>
          </w:p>
        </w:tc>
        <w:tc>
          <w:tcPr>
            <w:tcW w:w="2126" w:type="dxa"/>
            <w:vAlign w:val="bottom"/>
            <w:hideMark/>
          </w:tcPr>
          <w:p w:rsidR="00EA5AC8" w:rsidRPr="00902CCC" w:rsidRDefault="00EA5AC8" w:rsidP="00E56A16">
            <w:pPr>
              <w:jc w:val="center"/>
              <w:rPr>
                <w:b/>
                <w:color w:val="000000"/>
              </w:rPr>
            </w:pPr>
            <w:r w:rsidRPr="00902CCC">
              <w:rPr>
                <w:b/>
                <w:color w:val="000000"/>
              </w:rPr>
              <w:t>22 (18%)</w:t>
            </w:r>
          </w:p>
        </w:tc>
        <w:tc>
          <w:tcPr>
            <w:tcW w:w="2126" w:type="dxa"/>
            <w:vAlign w:val="bottom"/>
          </w:tcPr>
          <w:p w:rsidR="00EA5AC8" w:rsidRPr="00902CCC" w:rsidRDefault="00EA5AC8" w:rsidP="00E56A16">
            <w:pPr>
              <w:jc w:val="center"/>
              <w:rPr>
                <w:b/>
                <w:color w:val="000000"/>
              </w:rPr>
            </w:pPr>
            <w:r w:rsidRPr="00902CCC">
              <w:rPr>
                <w:b/>
                <w:color w:val="000000"/>
              </w:rPr>
              <w:t>32 (21%)</w:t>
            </w:r>
          </w:p>
        </w:tc>
        <w:tc>
          <w:tcPr>
            <w:tcW w:w="2127" w:type="dxa"/>
          </w:tcPr>
          <w:p w:rsidR="00EA5AC8" w:rsidRPr="00902CCC" w:rsidRDefault="00EA5AC8" w:rsidP="00E56A16">
            <w:pPr>
              <w:jc w:val="center"/>
              <w:rPr>
                <w:b/>
                <w:color w:val="000000"/>
              </w:rPr>
            </w:pPr>
            <w:r w:rsidRPr="00902CCC">
              <w:rPr>
                <w:b/>
                <w:color w:val="000000"/>
              </w:rPr>
              <w:t>62 (42%)</w:t>
            </w:r>
          </w:p>
        </w:tc>
      </w:tr>
      <w:tr w:rsidR="00EA5AC8" w:rsidRPr="00902CCC" w:rsidTr="00E56A16">
        <w:tc>
          <w:tcPr>
            <w:tcW w:w="3545" w:type="dxa"/>
            <w:tcBorders>
              <w:top w:val="nil"/>
              <w:left w:val="nil"/>
              <w:bottom w:val="single" w:sz="4" w:space="0" w:color="auto"/>
              <w:right w:val="nil"/>
            </w:tcBorders>
          </w:tcPr>
          <w:p w:rsidR="00EA5AC8" w:rsidRPr="00902CCC" w:rsidRDefault="00EA5AC8" w:rsidP="00E56A16">
            <w:pPr>
              <w:jc w:val="right"/>
            </w:pPr>
          </w:p>
        </w:tc>
        <w:tc>
          <w:tcPr>
            <w:tcW w:w="2126" w:type="dxa"/>
            <w:tcBorders>
              <w:top w:val="nil"/>
              <w:left w:val="nil"/>
              <w:bottom w:val="single" w:sz="4" w:space="0" w:color="auto"/>
              <w:right w:val="nil"/>
            </w:tcBorders>
          </w:tcPr>
          <w:p w:rsidR="00EA5AC8" w:rsidRPr="00902CCC" w:rsidRDefault="00EA5AC8" w:rsidP="00E56A16">
            <w:pPr>
              <w:jc w:val="center"/>
            </w:pPr>
          </w:p>
        </w:tc>
        <w:tc>
          <w:tcPr>
            <w:tcW w:w="2126" w:type="dxa"/>
            <w:tcBorders>
              <w:top w:val="nil"/>
              <w:left w:val="nil"/>
              <w:bottom w:val="single" w:sz="4" w:space="0" w:color="auto"/>
              <w:right w:val="nil"/>
            </w:tcBorders>
          </w:tcPr>
          <w:p w:rsidR="00EA5AC8" w:rsidRPr="00902CCC" w:rsidRDefault="00EA5AC8" w:rsidP="00E56A16">
            <w:pPr>
              <w:jc w:val="center"/>
            </w:pPr>
          </w:p>
        </w:tc>
        <w:tc>
          <w:tcPr>
            <w:tcW w:w="2127" w:type="dxa"/>
            <w:tcBorders>
              <w:top w:val="nil"/>
              <w:left w:val="nil"/>
              <w:bottom w:val="single" w:sz="4" w:space="0" w:color="auto"/>
              <w:right w:val="nil"/>
            </w:tcBorders>
          </w:tcPr>
          <w:p w:rsidR="00EA5AC8" w:rsidRPr="00902CCC" w:rsidRDefault="00EA5AC8" w:rsidP="00E56A16">
            <w:pPr>
              <w:jc w:val="center"/>
            </w:pPr>
          </w:p>
        </w:tc>
      </w:tr>
    </w:tbl>
    <w:p w:rsidR="00EA5AC8" w:rsidRDefault="00EA5AC8" w:rsidP="00EA5AC8">
      <w:pPr>
        <w:rPr>
          <w:noProof/>
          <w:szCs w:val="20"/>
        </w:rPr>
      </w:pPr>
      <w:r w:rsidRPr="00D83B4F">
        <w:rPr>
          <w:noProof/>
          <w:szCs w:val="20"/>
        </w:rPr>
        <w:t>Adherence with trial garments summarised from week 2 onwards.</w:t>
      </w:r>
    </w:p>
    <w:p w:rsidR="00EA5AC8" w:rsidRDefault="00EA5AC8" w:rsidP="00EA5AC8">
      <w:pPr>
        <w:rPr>
          <w:noProof/>
          <w:szCs w:val="20"/>
        </w:rPr>
      </w:pPr>
    </w:p>
    <w:p w:rsidR="00EA5AC8" w:rsidRPr="00D83B4F" w:rsidRDefault="00EA5AC8" w:rsidP="00EA5AC8">
      <w:pPr>
        <w:rPr>
          <w:noProof/>
          <w:szCs w:val="20"/>
        </w:rPr>
      </w:pPr>
      <w:r>
        <w:rPr>
          <w:sz w:val="18"/>
        </w:rPr>
        <w:t xml:space="preserve">a - Participant were defined as adherent with trial garments if they were </w:t>
      </w:r>
      <w:r w:rsidRPr="002C7045">
        <w:rPr>
          <w:sz w:val="18"/>
        </w:rPr>
        <w:t>worn for at least 50% of the days or at least 50% of the nights</w:t>
      </w:r>
      <w:r>
        <w:rPr>
          <w:sz w:val="18"/>
        </w:rPr>
        <w:t>.</w:t>
      </w:r>
    </w:p>
    <w:p w:rsidR="00EA5AC8" w:rsidRPr="00D83B4F" w:rsidRDefault="00EA5AC8" w:rsidP="00EA5AC8">
      <w:pPr>
        <w:rPr>
          <w:noProof/>
          <w:szCs w:val="20"/>
        </w:rPr>
      </w:pPr>
    </w:p>
    <w:p w:rsidR="00EA5AC8" w:rsidRPr="00D83B4F" w:rsidRDefault="00EA5AC8" w:rsidP="00EA5AC8">
      <w:pPr>
        <w:rPr>
          <w:szCs w:val="20"/>
        </w:rPr>
      </w:pPr>
      <w:r w:rsidRPr="00D83B4F">
        <w:rPr>
          <w:noProof/>
          <w:szCs w:val="20"/>
        </w:rPr>
        <w:t>Both sensitivity analyses include all participants in the interventon group regardless of the number of questionnaires completed and assumes that participants never wore the garments if they did not complete any questionnaires about how often they wore the garments (5 participants).</w:t>
      </w:r>
    </w:p>
    <w:p w:rsidR="00EA5AC8" w:rsidRPr="00D83B4F" w:rsidRDefault="00EA5AC8" w:rsidP="00EA5AC8">
      <w:pPr>
        <w:rPr>
          <w:noProof/>
          <w:szCs w:val="20"/>
        </w:rPr>
      </w:pPr>
    </w:p>
    <w:p w:rsidR="00EA5AC8" w:rsidRPr="00D83B4F" w:rsidRDefault="00EA5AC8" w:rsidP="00EA5AC8">
      <w:pPr>
        <w:rPr>
          <w:noProof/>
          <w:szCs w:val="20"/>
        </w:rPr>
      </w:pPr>
    </w:p>
    <w:p w:rsidR="00EA5AC8" w:rsidRPr="00D83B4F" w:rsidRDefault="00EA5AC8" w:rsidP="00EA5AC8">
      <w:pPr>
        <w:rPr>
          <w:noProof/>
          <w:szCs w:val="20"/>
        </w:rPr>
      </w:pPr>
      <w:r w:rsidRPr="00EA5AC8">
        <w:rPr>
          <w:noProof/>
          <w:szCs w:val="20"/>
          <w:vertAlign w:val="superscript"/>
        </w:rPr>
        <w:t>$</w:t>
      </w:r>
      <w:r w:rsidRPr="00D83B4F">
        <w:rPr>
          <w:noProof/>
          <w:szCs w:val="20"/>
        </w:rPr>
        <w:t>Sensitivity analysis 1 -  assuming garments worn for the same proportion of time when the questionnaire wasn’t completed as when the questionnaires were returned.</w:t>
      </w:r>
    </w:p>
    <w:p w:rsidR="00EA5AC8" w:rsidRPr="00D83B4F" w:rsidRDefault="00EA5AC8" w:rsidP="00EA5AC8">
      <w:pPr>
        <w:rPr>
          <w:noProof/>
          <w:szCs w:val="20"/>
        </w:rPr>
      </w:pPr>
      <w:r w:rsidRPr="00D83B4F">
        <w:rPr>
          <w:noProof/>
          <w:szCs w:val="20"/>
        </w:rPr>
        <w:t xml:space="preserve"> </w:t>
      </w:r>
    </w:p>
    <w:p w:rsidR="00EA5AC8" w:rsidRPr="00D83B4F" w:rsidRDefault="00EA5AC8" w:rsidP="00EA5AC8">
      <w:pPr>
        <w:rPr>
          <w:noProof/>
          <w:szCs w:val="20"/>
        </w:rPr>
      </w:pPr>
      <w:r>
        <w:rPr>
          <w:noProof/>
          <w:szCs w:val="20"/>
        </w:rPr>
        <w:t>^</w:t>
      </w:r>
      <w:r w:rsidRPr="00D83B4F">
        <w:rPr>
          <w:noProof/>
          <w:szCs w:val="20"/>
        </w:rPr>
        <w:t>Sensitivity analysis 2 – assuming garments not worn when the questionnaire wasn’t completed</w:t>
      </w:r>
    </w:p>
    <w:p w:rsidR="00EA5AC8" w:rsidRDefault="00EA5AC8" w:rsidP="00EA5AC8">
      <w:pPr>
        <w:spacing w:after="120"/>
        <w:rPr>
          <w:rFonts w:ascii="Calibri" w:hAnsi="Calibri"/>
        </w:rPr>
      </w:pPr>
    </w:p>
    <w:p w:rsidR="00EA5AC8" w:rsidRPr="00FD2AB7" w:rsidRDefault="00EA5AC8" w:rsidP="00FD2AB7">
      <w:pPr>
        <w:spacing w:after="160" w:line="259" w:lineRule="auto"/>
        <w:rPr>
          <w:i/>
        </w:rPr>
      </w:pPr>
    </w:p>
    <w:sectPr w:rsidR="00EA5AC8" w:rsidRPr="00FD2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B7"/>
    <w:rsid w:val="00555BB2"/>
    <w:rsid w:val="0087656B"/>
    <w:rsid w:val="00E410C9"/>
    <w:rsid w:val="00EA5AC8"/>
    <w:rsid w:val="00F241E0"/>
    <w:rsid w:val="00FD2AB7"/>
    <w:rsid w:val="00FF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3E3CC-6131-448E-8BE0-11AE13AC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B7"/>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EA5AC8"/>
    <w:pPr>
      <w:spacing w:after="200"/>
    </w:pPr>
    <w:rPr>
      <w:rFonts w:ascii="Times New Roman" w:eastAsia="Times New Roman" w:hAnsi="Times New Roman" w:cs="Times New Roman"/>
      <w:b/>
      <w:bCs/>
      <w:sz w:val="22"/>
      <w:szCs w:val="18"/>
    </w:rPr>
  </w:style>
  <w:style w:type="character" w:styleId="CommentReference">
    <w:name w:val="annotation reference"/>
    <w:basedOn w:val="DefaultParagraphFont"/>
    <w:uiPriority w:val="99"/>
    <w:rsid w:val="00EA5AC8"/>
    <w:rPr>
      <w:rFonts w:cs="Times New Roman"/>
      <w:sz w:val="16"/>
    </w:rPr>
  </w:style>
  <w:style w:type="paragraph" w:styleId="CommentText">
    <w:name w:val="annotation text"/>
    <w:link w:val="CommentTextChar"/>
    <w:uiPriority w:val="99"/>
    <w:rsid w:val="00EA5AC8"/>
    <w:pPr>
      <w:spacing w:after="200" w:line="240" w:lineRule="auto"/>
      <w:jc w:val="both"/>
    </w:pPr>
    <w:rPr>
      <w:rFonts w:ascii="Verdana" w:eastAsia="Times New Roman" w:hAnsi="Verdana" w:cs="Times New Roman"/>
      <w:sz w:val="16"/>
      <w:szCs w:val="20"/>
      <w:lang w:eastAsia="zh-CN"/>
    </w:rPr>
  </w:style>
  <w:style w:type="character" w:customStyle="1" w:styleId="CommentTextChar">
    <w:name w:val="Comment Text Char"/>
    <w:basedOn w:val="DefaultParagraphFont"/>
    <w:link w:val="CommentText"/>
    <w:uiPriority w:val="99"/>
    <w:rsid w:val="00EA5AC8"/>
    <w:rPr>
      <w:rFonts w:ascii="Verdana" w:eastAsia="Times New Roman" w:hAnsi="Verdana" w:cs="Times New Roman"/>
      <w:sz w:val="16"/>
      <w:szCs w:val="20"/>
      <w:lang w:eastAsia="zh-CN"/>
    </w:rPr>
  </w:style>
  <w:style w:type="paragraph" w:styleId="BalloonText">
    <w:name w:val="Balloon Text"/>
    <w:basedOn w:val="Normal"/>
    <w:link w:val="BalloonTextChar"/>
    <w:uiPriority w:val="99"/>
    <w:semiHidden/>
    <w:unhideWhenUsed/>
    <w:rsid w:val="00EA5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321</Words>
  <Characters>1835</Characters>
  <Application>Microsoft Office Word</Application>
  <DocSecurity>0</DocSecurity>
  <Lines>15</Lines>
  <Paragraphs>4</Paragraphs>
  <ScaleCrop>false</ScaleCrop>
  <Company>University of Nottingham</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Eleanor</dc:creator>
  <cp:keywords/>
  <dc:description/>
  <cp:lastModifiedBy>Thomas Kim</cp:lastModifiedBy>
  <cp:revision>6</cp:revision>
  <dcterms:created xsi:type="dcterms:W3CDTF">2016-11-03T11:47:00Z</dcterms:created>
  <dcterms:modified xsi:type="dcterms:W3CDTF">2016-12-21T16:06:00Z</dcterms:modified>
</cp:coreProperties>
</file>