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EE8C5" w14:textId="3F727254" w:rsidR="00180862" w:rsidRPr="00180862" w:rsidRDefault="00180862" w:rsidP="00180862">
      <w:pPr>
        <w:rPr>
          <w:b/>
        </w:rPr>
      </w:pPr>
    </w:p>
    <w:tbl>
      <w:tblPr>
        <w:tblStyle w:val="ListTable31"/>
        <w:tblW w:w="5000" w:type="pct"/>
        <w:tblLayout w:type="fixed"/>
        <w:tblLook w:val="04A0" w:firstRow="1" w:lastRow="0" w:firstColumn="1" w:lastColumn="0" w:noHBand="0" w:noVBand="1"/>
      </w:tblPr>
      <w:tblGrid>
        <w:gridCol w:w="1612"/>
        <w:gridCol w:w="905"/>
        <w:gridCol w:w="1511"/>
        <w:gridCol w:w="826"/>
        <w:gridCol w:w="898"/>
        <w:gridCol w:w="1232"/>
        <w:gridCol w:w="1055"/>
        <w:gridCol w:w="1197"/>
      </w:tblGrid>
      <w:tr w:rsidR="00A06B56" w:rsidRPr="00A06B56" w14:paraId="08067F1A" w14:textId="77777777" w:rsidTr="00A0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3" w:type="pct"/>
          </w:tcPr>
          <w:p w14:paraId="4094E971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2BCC5996" w14:textId="77777777" w:rsidR="00A8507D" w:rsidRPr="00A06B56" w:rsidRDefault="00A8507D" w:rsidP="00E21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Negative binomial</w:t>
            </w:r>
          </w:p>
        </w:tc>
        <w:tc>
          <w:tcPr>
            <w:tcW w:w="818" w:type="pct"/>
          </w:tcPr>
          <w:p w14:paraId="5995988C" w14:textId="77777777" w:rsidR="00A8507D" w:rsidRPr="00A06B56" w:rsidRDefault="00A8507D" w:rsidP="00E21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7" w:type="pct"/>
          </w:tcPr>
          <w:p w14:paraId="5B0A1085" w14:textId="77777777" w:rsidR="00A8507D" w:rsidRPr="00A06B56" w:rsidRDefault="00A8507D" w:rsidP="00E21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</w:tcPr>
          <w:p w14:paraId="2C289A1B" w14:textId="77777777" w:rsidR="00A8507D" w:rsidRPr="00A06B56" w:rsidRDefault="00A8507D" w:rsidP="00E21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Log-linear</w:t>
            </w:r>
          </w:p>
        </w:tc>
        <w:tc>
          <w:tcPr>
            <w:tcW w:w="667" w:type="pct"/>
          </w:tcPr>
          <w:p w14:paraId="2CACC4D8" w14:textId="77777777" w:rsidR="00A8507D" w:rsidRPr="00A06B56" w:rsidRDefault="00A8507D" w:rsidP="00E21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7B084D6F" w14:textId="77777777" w:rsidR="00A8507D" w:rsidRPr="00A06B56" w:rsidRDefault="00A8507D" w:rsidP="00E21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088F99A8" w14:textId="77777777" w:rsidR="00A8507D" w:rsidRPr="00A06B56" w:rsidRDefault="00A8507D" w:rsidP="00E21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Difference</w:t>
            </w:r>
          </w:p>
        </w:tc>
      </w:tr>
      <w:tr w:rsidR="00A06B56" w:rsidRPr="00A06B56" w14:paraId="781BE228" w14:textId="77777777" w:rsidTr="00A0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000000" w:themeFill="text1"/>
          </w:tcPr>
          <w:p w14:paraId="7C46BD57" w14:textId="77777777" w:rsidR="00A8507D" w:rsidRPr="00A06B56" w:rsidRDefault="00A8507D" w:rsidP="00E21F00">
            <w:pPr>
              <w:pStyle w:val="NoSpacing"/>
              <w:rPr>
                <w:color w:val="FFFFFF" w:themeColor="background1"/>
                <w:sz w:val="18"/>
                <w:szCs w:val="18"/>
              </w:rPr>
            </w:pPr>
            <w:r w:rsidRPr="00A06B56">
              <w:rPr>
                <w:color w:val="FFFFFF" w:themeColor="background1"/>
                <w:sz w:val="18"/>
                <w:szCs w:val="18"/>
              </w:rPr>
              <w:t xml:space="preserve">Emergency department use </w:t>
            </w:r>
          </w:p>
        </w:tc>
        <w:tc>
          <w:tcPr>
            <w:tcW w:w="490" w:type="pct"/>
            <w:shd w:val="clear" w:color="auto" w:fill="000000" w:themeFill="text1"/>
          </w:tcPr>
          <w:p w14:paraId="40DABBF3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A06B56">
              <w:rPr>
                <w:color w:val="FFFFFF" w:themeColor="background1"/>
                <w:sz w:val="18"/>
                <w:szCs w:val="18"/>
              </w:rPr>
              <w:t>Jan-Dec 2014</w:t>
            </w:r>
          </w:p>
        </w:tc>
        <w:tc>
          <w:tcPr>
            <w:tcW w:w="818" w:type="pct"/>
            <w:shd w:val="clear" w:color="auto" w:fill="000000" w:themeFill="text1"/>
          </w:tcPr>
          <w:p w14:paraId="2269312C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A06B56">
              <w:rPr>
                <w:color w:val="FFFFFF" w:themeColor="background1"/>
                <w:sz w:val="18"/>
                <w:szCs w:val="18"/>
              </w:rPr>
              <w:t>95% confidence interval</w:t>
            </w:r>
          </w:p>
        </w:tc>
        <w:tc>
          <w:tcPr>
            <w:tcW w:w="447" w:type="pct"/>
            <w:shd w:val="clear" w:color="auto" w:fill="000000" w:themeFill="text1"/>
          </w:tcPr>
          <w:p w14:paraId="38901AEF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A06B56">
              <w:rPr>
                <w:color w:val="FFFFFF" w:themeColor="background1"/>
                <w:sz w:val="18"/>
                <w:szCs w:val="18"/>
              </w:rPr>
              <w:t>p</w:t>
            </w:r>
            <w:proofErr w:type="gramEnd"/>
            <w:r w:rsidRPr="00A06B56">
              <w:rPr>
                <w:color w:val="FFFFFF" w:themeColor="background1"/>
                <w:sz w:val="18"/>
                <w:szCs w:val="18"/>
              </w:rPr>
              <w:t>-value</w:t>
            </w:r>
          </w:p>
        </w:tc>
        <w:tc>
          <w:tcPr>
            <w:tcW w:w="486" w:type="pct"/>
            <w:shd w:val="clear" w:color="auto" w:fill="000000" w:themeFill="text1"/>
          </w:tcPr>
          <w:p w14:paraId="0B661446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A06B56">
              <w:rPr>
                <w:color w:val="FFFFFF" w:themeColor="background1"/>
                <w:sz w:val="18"/>
                <w:szCs w:val="18"/>
              </w:rPr>
              <w:t>Jan-Dec 2014</w:t>
            </w:r>
          </w:p>
        </w:tc>
        <w:tc>
          <w:tcPr>
            <w:tcW w:w="667" w:type="pct"/>
            <w:shd w:val="clear" w:color="auto" w:fill="000000" w:themeFill="text1"/>
          </w:tcPr>
          <w:p w14:paraId="662485EA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A06B56">
              <w:rPr>
                <w:color w:val="FFFFFF" w:themeColor="background1"/>
                <w:sz w:val="18"/>
                <w:szCs w:val="18"/>
              </w:rPr>
              <w:t>95% confidence interval</w:t>
            </w:r>
          </w:p>
        </w:tc>
        <w:tc>
          <w:tcPr>
            <w:tcW w:w="571" w:type="pct"/>
            <w:shd w:val="clear" w:color="auto" w:fill="000000" w:themeFill="text1"/>
          </w:tcPr>
          <w:p w14:paraId="22323C99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A06B56">
              <w:rPr>
                <w:color w:val="FFFFFF" w:themeColor="background1"/>
                <w:sz w:val="18"/>
                <w:szCs w:val="18"/>
              </w:rPr>
              <w:t>p</w:t>
            </w:r>
            <w:proofErr w:type="gramEnd"/>
            <w:r w:rsidRPr="00A06B56">
              <w:rPr>
                <w:color w:val="FFFFFF" w:themeColor="background1"/>
                <w:sz w:val="18"/>
                <w:szCs w:val="18"/>
              </w:rPr>
              <w:t>-value</w:t>
            </w:r>
          </w:p>
        </w:tc>
        <w:tc>
          <w:tcPr>
            <w:tcW w:w="648" w:type="pct"/>
            <w:shd w:val="clear" w:color="auto" w:fill="000000" w:themeFill="text1"/>
          </w:tcPr>
          <w:p w14:paraId="7C4B8435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8507D" w:rsidRPr="00A06B56" w14:paraId="25081BFB" w14:textId="77777777" w:rsidTr="00A06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0C010F0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Patient-initiated referrals (minor intensity)</w:t>
            </w:r>
          </w:p>
        </w:tc>
        <w:tc>
          <w:tcPr>
            <w:tcW w:w="490" w:type="pct"/>
          </w:tcPr>
          <w:p w14:paraId="4356C37E" w14:textId="51CF4E00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-25.08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</w:tcPr>
          <w:p w14:paraId="72969FB9" w14:textId="53794E4B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[-35.34% to -14.82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447" w:type="pct"/>
          </w:tcPr>
          <w:p w14:paraId="177A6C14" w14:textId="5DFBDE43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  <w:tc>
          <w:tcPr>
            <w:tcW w:w="486" w:type="pct"/>
          </w:tcPr>
          <w:p w14:paraId="4E90F615" w14:textId="126F60C4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-26.39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7" w:type="pct"/>
          </w:tcPr>
          <w:p w14:paraId="2A3D7406" w14:textId="215FB567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[-36.65% to -16.13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571" w:type="pct"/>
          </w:tcPr>
          <w:p w14:paraId="1298CF57" w14:textId="616DC2F5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  <w:tc>
          <w:tcPr>
            <w:tcW w:w="648" w:type="pct"/>
          </w:tcPr>
          <w:p w14:paraId="0B570930" w14:textId="369DE102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1.31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pp</w:t>
            </w:r>
          </w:p>
        </w:tc>
      </w:tr>
      <w:tr w:rsidR="00A8507D" w:rsidRPr="00A06B56" w14:paraId="531F9566" w14:textId="77777777" w:rsidTr="00A0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3261FBC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Cost of patient-initiated referrals (minor intensity)</w:t>
            </w:r>
          </w:p>
        </w:tc>
        <w:tc>
          <w:tcPr>
            <w:tcW w:w="490" w:type="pct"/>
          </w:tcPr>
          <w:p w14:paraId="289C47F0" w14:textId="50376A7C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-26.14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</w:tcPr>
          <w:p w14:paraId="0E809776" w14:textId="685F6449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[-36.96% to -15.32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447" w:type="pct"/>
          </w:tcPr>
          <w:p w14:paraId="763F321A" w14:textId="59DBB670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  <w:tc>
          <w:tcPr>
            <w:tcW w:w="486" w:type="pct"/>
          </w:tcPr>
          <w:p w14:paraId="7171FE09" w14:textId="0CCC7F1C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-26.63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7" w:type="pct"/>
          </w:tcPr>
          <w:p w14:paraId="3D2BA35E" w14:textId="3308B4E6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[-37.11% to -16.16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571" w:type="pct"/>
          </w:tcPr>
          <w:p w14:paraId="4E272FFA" w14:textId="0B1743B8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  <w:tc>
          <w:tcPr>
            <w:tcW w:w="648" w:type="pct"/>
          </w:tcPr>
          <w:p w14:paraId="50687A10" w14:textId="31A02EDC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0.49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pp</w:t>
            </w:r>
          </w:p>
        </w:tc>
      </w:tr>
      <w:tr w:rsidR="00A8507D" w:rsidRPr="00A06B56" w14:paraId="2D734B25" w14:textId="77777777" w:rsidTr="00A06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DB33EDF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607FE287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</w:tcPr>
          <w:p w14:paraId="25223614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</w:tcPr>
          <w:p w14:paraId="2C81595C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</w:tcPr>
          <w:p w14:paraId="794DEBD2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3D5CC97B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</w:tcPr>
          <w:p w14:paraId="2BAA46A1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</w:tcPr>
          <w:p w14:paraId="3E646B40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8507D" w:rsidRPr="00A06B56" w14:paraId="4A58E657" w14:textId="77777777" w:rsidTr="00A0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B169C90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Total</w:t>
            </w:r>
          </w:p>
        </w:tc>
        <w:tc>
          <w:tcPr>
            <w:tcW w:w="490" w:type="pct"/>
          </w:tcPr>
          <w:p w14:paraId="6D811D25" w14:textId="5CF2DE92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-2.29%</w:t>
            </w:r>
          </w:p>
        </w:tc>
        <w:tc>
          <w:tcPr>
            <w:tcW w:w="818" w:type="pct"/>
          </w:tcPr>
          <w:p w14:paraId="0D4816AC" w14:textId="6C5178DA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[-4.88% to -0.29%]</w:t>
            </w:r>
          </w:p>
        </w:tc>
        <w:tc>
          <w:tcPr>
            <w:tcW w:w="447" w:type="pct"/>
          </w:tcPr>
          <w:p w14:paraId="219A6C46" w14:textId="0C964008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(0.082)</w:t>
            </w:r>
          </w:p>
        </w:tc>
        <w:tc>
          <w:tcPr>
            <w:tcW w:w="486" w:type="pct"/>
          </w:tcPr>
          <w:p w14:paraId="3C387E37" w14:textId="168DB11A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-3.08%</w:t>
            </w:r>
          </w:p>
        </w:tc>
        <w:tc>
          <w:tcPr>
            <w:tcW w:w="667" w:type="pct"/>
          </w:tcPr>
          <w:p w14:paraId="5E4ED414" w14:textId="54D00251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[-5.98% to -0.19%]</w:t>
            </w:r>
          </w:p>
        </w:tc>
        <w:tc>
          <w:tcPr>
            <w:tcW w:w="571" w:type="pct"/>
          </w:tcPr>
          <w:p w14:paraId="112AE3C7" w14:textId="4AF5CF64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648" w:type="pct"/>
          </w:tcPr>
          <w:p w14:paraId="3570FAF9" w14:textId="6FED9168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0.79pp</w:t>
            </w:r>
          </w:p>
        </w:tc>
      </w:tr>
      <w:tr w:rsidR="00A06B56" w:rsidRPr="00A06B56" w14:paraId="4311ACE0" w14:textId="77777777" w:rsidTr="00A06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D9D9D9" w:themeFill="background1" w:themeFillShade="D9"/>
          </w:tcPr>
          <w:p w14:paraId="4F89872C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Intensity type</w:t>
            </w:r>
          </w:p>
        </w:tc>
        <w:tc>
          <w:tcPr>
            <w:tcW w:w="490" w:type="pct"/>
            <w:shd w:val="clear" w:color="auto" w:fill="D9D9D9" w:themeFill="background1" w:themeFillShade="D9"/>
          </w:tcPr>
          <w:p w14:paraId="6A138E94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shd w:val="clear" w:color="auto" w:fill="D9D9D9" w:themeFill="background1" w:themeFillShade="D9"/>
          </w:tcPr>
          <w:p w14:paraId="0B51BDAD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</w:tcPr>
          <w:p w14:paraId="59E65DA1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14:paraId="75A2C3C6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003D7E6A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D9D9D9" w:themeFill="background1" w:themeFillShade="D9"/>
          </w:tcPr>
          <w:p w14:paraId="5227692C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9D9D9" w:themeFill="background1" w:themeFillShade="D9"/>
          </w:tcPr>
          <w:p w14:paraId="4CFA8D75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8507D" w:rsidRPr="00A06B56" w14:paraId="5DEABFC8" w14:textId="77777777" w:rsidTr="00A0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821F262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Minor</w:t>
            </w:r>
          </w:p>
        </w:tc>
        <w:tc>
          <w:tcPr>
            <w:tcW w:w="490" w:type="pct"/>
          </w:tcPr>
          <w:p w14:paraId="695C4761" w14:textId="7B2317B1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-3.65%</w:t>
            </w:r>
          </w:p>
        </w:tc>
        <w:tc>
          <w:tcPr>
            <w:tcW w:w="818" w:type="pct"/>
          </w:tcPr>
          <w:p w14:paraId="142B53C5" w14:textId="0C50E8A0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[-7.45% to 0.15%]</w:t>
            </w:r>
          </w:p>
        </w:tc>
        <w:tc>
          <w:tcPr>
            <w:tcW w:w="447" w:type="pct"/>
          </w:tcPr>
          <w:p w14:paraId="5D3965E3" w14:textId="16F8F76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(0.060)</w:t>
            </w:r>
          </w:p>
        </w:tc>
        <w:tc>
          <w:tcPr>
            <w:tcW w:w="486" w:type="pct"/>
          </w:tcPr>
          <w:p w14:paraId="7E068D94" w14:textId="532213BB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-4.45%</w:t>
            </w:r>
          </w:p>
        </w:tc>
        <w:tc>
          <w:tcPr>
            <w:tcW w:w="667" w:type="pct"/>
          </w:tcPr>
          <w:p w14:paraId="5C7257FB" w14:textId="5D5BD60E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[-8.57% to -0.32%]</w:t>
            </w:r>
          </w:p>
        </w:tc>
        <w:tc>
          <w:tcPr>
            <w:tcW w:w="571" w:type="pct"/>
          </w:tcPr>
          <w:p w14:paraId="29A623B5" w14:textId="272FD139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648" w:type="pct"/>
          </w:tcPr>
          <w:p w14:paraId="65B4A354" w14:textId="07F026E4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0.80pp</w:t>
            </w:r>
          </w:p>
        </w:tc>
      </w:tr>
      <w:tr w:rsidR="00A8507D" w:rsidRPr="00A06B56" w14:paraId="7F1F7717" w14:textId="77777777" w:rsidTr="00A06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1CC3593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Standard</w:t>
            </w:r>
          </w:p>
        </w:tc>
        <w:tc>
          <w:tcPr>
            <w:tcW w:w="490" w:type="pct"/>
          </w:tcPr>
          <w:p w14:paraId="622FFAAD" w14:textId="6837E383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-4.85%</w:t>
            </w:r>
          </w:p>
        </w:tc>
        <w:tc>
          <w:tcPr>
            <w:tcW w:w="818" w:type="pct"/>
          </w:tcPr>
          <w:p w14:paraId="65B0BA7A" w14:textId="4320022A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[-8.51% to -1.18%]</w:t>
            </w:r>
          </w:p>
        </w:tc>
        <w:tc>
          <w:tcPr>
            <w:tcW w:w="447" w:type="pct"/>
          </w:tcPr>
          <w:p w14:paraId="47EECF49" w14:textId="3DFFDC7A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486" w:type="pct"/>
          </w:tcPr>
          <w:p w14:paraId="2F92EBC0" w14:textId="707A2E0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-5.42%</w:t>
            </w:r>
          </w:p>
        </w:tc>
        <w:tc>
          <w:tcPr>
            <w:tcW w:w="667" w:type="pct"/>
          </w:tcPr>
          <w:p w14:paraId="326B027D" w14:textId="1A44B6D6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[-9.43% to -1.41%]</w:t>
            </w:r>
          </w:p>
        </w:tc>
        <w:tc>
          <w:tcPr>
            <w:tcW w:w="571" w:type="pct"/>
          </w:tcPr>
          <w:p w14:paraId="4E4B31CD" w14:textId="5926DF9F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648" w:type="pct"/>
          </w:tcPr>
          <w:p w14:paraId="35C26EBF" w14:textId="23109FB8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0.57pp</w:t>
            </w:r>
          </w:p>
        </w:tc>
      </w:tr>
      <w:tr w:rsidR="00A8507D" w:rsidRPr="00A06B56" w14:paraId="02CB5F25" w14:textId="77777777" w:rsidTr="00A0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528A829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High</w:t>
            </w:r>
          </w:p>
        </w:tc>
        <w:tc>
          <w:tcPr>
            <w:tcW w:w="490" w:type="pct"/>
          </w:tcPr>
          <w:p w14:paraId="33C82202" w14:textId="1BB9F848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3.16%</w:t>
            </w:r>
          </w:p>
        </w:tc>
        <w:tc>
          <w:tcPr>
            <w:tcW w:w="818" w:type="pct"/>
          </w:tcPr>
          <w:p w14:paraId="1FCD7CF9" w14:textId="4876B254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[-1.92% to 8.24%]</w:t>
            </w:r>
          </w:p>
        </w:tc>
        <w:tc>
          <w:tcPr>
            <w:tcW w:w="447" w:type="pct"/>
          </w:tcPr>
          <w:p w14:paraId="2940128F" w14:textId="0CA427FF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(0.222)</w:t>
            </w:r>
          </w:p>
        </w:tc>
        <w:tc>
          <w:tcPr>
            <w:tcW w:w="486" w:type="pct"/>
          </w:tcPr>
          <w:p w14:paraId="1A14B0F9" w14:textId="435DB339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1.08%</w:t>
            </w:r>
          </w:p>
        </w:tc>
        <w:tc>
          <w:tcPr>
            <w:tcW w:w="667" w:type="pct"/>
          </w:tcPr>
          <w:p w14:paraId="26D5FCB4" w14:textId="7CB17116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[-4.45% to 6.61%]</w:t>
            </w:r>
          </w:p>
        </w:tc>
        <w:tc>
          <w:tcPr>
            <w:tcW w:w="571" w:type="pct"/>
          </w:tcPr>
          <w:p w14:paraId="7A4C3A5D" w14:textId="3E4C61F6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(0.701)</w:t>
            </w:r>
          </w:p>
        </w:tc>
        <w:tc>
          <w:tcPr>
            <w:tcW w:w="648" w:type="pct"/>
          </w:tcPr>
          <w:p w14:paraId="5967EBBC" w14:textId="4DB727EA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2.08pp</w:t>
            </w:r>
          </w:p>
        </w:tc>
      </w:tr>
      <w:tr w:rsidR="00A8507D" w:rsidRPr="00A06B56" w14:paraId="326F0828" w14:textId="77777777" w:rsidTr="00A06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F0DCBBB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Intensity missing</w:t>
            </w:r>
          </w:p>
        </w:tc>
        <w:tc>
          <w:tcPr>
            <w:tcW w:w="490" w:type="pct"/>
          </w:tcPr>
          <w:p w14:paraId="5F4DB51A" w14:textId="1CD9ED4F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31.57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</w:tcPr>
          <w:p w14:paraId="43299411" w14:textId="4116B56D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[-6.77% to 69.90%]</w:t>
            </w:r>
          </w:p>
        </w:tc>
        <w:tc>
          <w:tcPr>
            <w:tcW w:w="447" w:type="pct"/>
          </w:tcPr>
          <w:p w14:paraId="2D22200D" w14:textId="1F3ADC49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(0.107)</w:t>
            </w:r>
          </w:p>
        </w:tc>
        <w:tc>
          <w:tcPr>
            <w:tcW w:w="486" w:type="pct"/>
          </w:tcPr>
          <w:p w14:paraId="11345E54" w14:textId="38ED21BD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11.31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7" w:type="pct"/>
          </w:tcPr>
          <w:p w14:paraId="21137A8F" w14:textId="4B090101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[2.40% to 20.22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571" w:type="pct"/>
          </w:tcPr>
          <w:p w14:paraId="035182B7" w14:textId="1170B14E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648" w:type="pct"/>
          </w:tcPr>
          <w:p w14:paraId="691053E3" w14:textId="4FF71363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20.26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pp</w:t>
            </w:r>
          </w:p>
        </w:tc>
      </w:tr>
      <w:tr w:rsidR="00A06B56" w:rsidRPr="00A06B56" w14:paraId="565C29C2" w14:textId="77777777" w:rsidTr="00A0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D9D9D9" w:themeFill="background1" w:themeFillShade="D9"/>
          </w:tcPr>
          <w:p w14:paraId="6898A518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Referral type</w:t>
            </w:r>
          </w:p>
        </w:tc>
        <w:tc>
          <w:tcPr>
            <w:tcW w:w="490" w:type="pct"/>
            <w:shd w:val="clear" w:color="auto" w:fill="D9D9D9" w:themeFill="background1" w:themeFillShade="D9"/>
          </w:tcPr>
          <w:p w14:paraId="43027D42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18" w:type="pct"/>
            <w:shd w:val="clear" w:color="auto" w:fill="D9D9D9" w:themeFill="background1" w:themeFillShade="D9"/>
          </w:tcPr>
          <w:p w14:paraId="518C2A43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</w:tcPr>
          <w:p w14:paraId="093E2BA7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14:paraId="311D5AF1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4E36AF02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71" w:type="pct"/>
            <w:shd w:val="clear" w:color="auto" w:fill="D9D9D9" w:themeFill="background1" w:themeFillShade="D9"/>
          </w:tcPr>
          <w:p w14:paraId="22E4C94D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48" w:type="pct"/>
            <w:shd w:val="clear" w:color="auto" w:fill="D9D9D9" w:themeFill="background1" w:themeFillShade="D9"/>
          </w:tcPr>
          <w:p w14:paraId="3E0B6631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8507D" w:rsidRPr="00A06B56" w14:paraId="39ED442D" w14:textId="77777777" w:rsidTr="00A06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8BAEE04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GP-referral</w:t>
            </w:r>
          </w:p>
        </w:tc>
        <w:tc>
          <w:tcPr>
            <w:tcW w:w="490" w:type="pct"/>
          </w:tcPr>
          <w:p w14:paraId="2649D091" w14:textId="30218D26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8.92%</w:t>
            </w:r>
          </w:p>
        </w:tc>
        <w:tc>
          <w:tcPr>
            <w:tcW w:w="818" w:type="pct"/>
          </w:tcPr>
          <w:p w14:paraId="78D31E98" w14:textId="04400192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[-0.59% to 18.43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447" w:type="pct"/>
          </w:tcPr>
          <w:p w14:paraId="564997D7" w14:textId="734B273E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(0.066)</w:t>
            </w:r>
          </w:p>
        </w:tc>
        <w:tc>
          <w:tcPr>
            <w:tcW w:w="486" w:type="pct"/>
          </w:tcPr>
          <w:p w14:paraId="6052FF3A" w14:textId="2B4EACB1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4.43%</w:t>
            </w:r>
          </w:p>
        </w:tc>
        <w:tc>
          <w:tcPr>
            <w:tcW w:w="667" w:type="pct"/>
          </w:tcPr>
          <w:p w14:paraId="6B163207" w14:textId="0443D45A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[-3.45% to 12.30%]</w:t>
            </w:r>
          </w:p>
        </w:tc>
        <w:tc>
          <w:tcPr>
            <w:tcW w:w="571" w:type="pct"/>
          </w:tcPr>
          <w:p w14:paraId="4D8A2E34" w14:textId="39363033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(0.270)</w:t>
            </w:r>
          </w:p>
        </w:tc>
        <w:tc>
          <w:tcPr>
            <w:tcW w:w="648" w:type="pct"/>
          </w:tcPr>
          <w:p w14:paraId="491B5DE0" w14:textId="0E52E710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4.49pp</w:t>
            </w:r>
          </w:p>
        </w:tc>
      </w:tr>
      <w:tr w:rsidR="00A8507D" w:rsidRPr="00A06B56" w14:paraId="4A727CAA" w14:textId="77777777" w:rsidTr="00A0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E5D381B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Patient-initiated referrals</w:t>
            </w:r>
          </w:p>
        </w:tc>
        <w:tc>
          <w:tcPr>
            <w:tcW w:w="490" w:type="pct"/>
          </w:tcPr>
          <w:p w14:paraId="393E41C5" w14:textId="56CEA7CD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-30.17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</w:tcPr>
          <w:p w14:paraId="246DF3DE" w14:textId="1DE4D796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[-41.25% to -19.09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447" w:type="pct"/>
          </w:tcPr>
          <w:p w14:paraId="29314233" w14:textId="7157595F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  <w:tc>
          <w:tcPr>
            <w:tcW w:w="486" w:type="pct"/>
          </w:tcPr>
          <w:p w14:paraId="61C55AFE" w14:textId="74E74AAC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-31.88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7" w:type="pct"/>
          </w:tcPr>
          <w:p w14:paraId="6B40B284" w14:textId="29A27C53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[-42.80% to -20.96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571" w:type="pct"/>
          </w:tcPr>
          <w:p w14:paraId="2C0D4F8A" w14:textId="2E7605B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  <w:tc>
          <w:tcPr>
            <w:tcW w:w="648" w:type="pct"/>
          </w:tcPr>
          <w:p w14:paraId="15B13608" w14:textId="6E16DB91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1.71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pp</w:t>
            </w:r>
          </w:p>
        </w:tc>
      </w:tr>
      <w:tr w:rsidR="00A8507D" w:rsidRPr="00A06B56" w14:paraId="64E9E38F" w14:textId="77777777" w:rsidTr="00A06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5256299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Other referral</w:t>
            </w:r>
          </w:p>
        </w:tc>
        <w:tc>
          <w:tcPr>
            <w:tcW w:w="490" w:type="pct"/>
          </w:tcPr>
          <w:p w14:paraId="26443D15" w14:textId="438F7E76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27.18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</w:tcPr>
          <w:p w14:paraId="22E81CA2" w14:textId="5E06044A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[19.87% to 34.49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447" w:type="pct"/>
          </w:tcPr>
          <w:p w14:paraId="3D9F29B3" w14:textId="64C6EE16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  <w:tc>
          <w:tcPr>
            <w:tcW w:w="486" w:type="pct"/>
          </w:tcPr>
          <w:p w14:paraId="1E0F905F" w14:textId="7BAB305F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33.79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7" w:type="pct"/>
          </w:tcPr>
          <w:p w14:paraId="562245E8" w14:textId="2F466E9D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[23.36% to 44.22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571" w:type="pct"/>
          </w:tcPr>
          <w:p w14:paraId="7BE0B45D" w14:textId="7C12185B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  <w:tc>
          <w:tcPr>
            <w:tcW w:w="648" w:type="pct"/>
          </w:tcPr>
          <w:p w14:paraId="767440E1" w14:textId="215179B7" w:rsidR="00A8507D" w:rsidRPr="00A06B56" w:rsidRDefault="00BE04B7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-6.61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pp</w:t>
            </w:r>
          </w:p>
        </w:tc>
      </w:tr>
      <w:tr w:rsidR="00A8507D" w:rsidRPr="00A06B56" w14:paraId="19ABA226" w14:textId="77777777" w:rsidTr="00A0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BCBCD79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Code missing</w:t>
            </w:r>
          </w:p>
        </w:tc>
        <w:tc>
          <w:tcPr>
            <w:tcW w:w="490" w:type="pct"/>
          </w:tcPr>
          <w:p w14:paraId="549683B5" w14:textId="78ACA39E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-78.92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</w:tcPr>
          <w:p w14:paraId="2D478E32" w14:textId="06CC0008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[-109.50% to -48.34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447" w:type="pct"/>
          </w:tcPr>
          <w:p w14:paraId="2D26ED08" w14:textId="662F3F5D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  <w:tc>
          <w:tcPr>
            <w:tcW w:w="486" w:type="pct"/>
          </w:tcPr>
          <w:p w14:paraId="49600FB7" w14:textId="478EFFAD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-38.27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7" w:type="pct"/>
          </w:tcPr>
          <w:p w14:paraId="0547C816" w14:textId="1C5A2366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[-49.32% to -27.21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571" w:type="pct"/>
          </w:tcPr>
          <w:p w14:paraId="2DD396FC" w14:textId="7307E23B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  <w:tc>
          <w:tcPr>
            <w:tcW w:w="648" w:type="pct"/>
          </w:tcPr>
          <w:p w14:paraId="295414B8" w14:textId="46FE3559" w:rsidR="00A8507D" w:rsidRPr="00A06B56" w:rsidRDefault="00BE04B7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-40.65</w:t>
            </w:r>
            <w:r w:rsidR="00A8507D" w:rsidRPr="00A06B56">
              <w:rPr>
                <w:rFonts w:eastAsia="Times New Roman"/>
                <w:color w:val="000000"/>
                <w:sz w:val="18"/>
                <w:szCs w:val="18"/>
              </w:rPr>
              <w:t>pp</w:t>
            </w:r>
          </w:p>
        </w:tc>
      </w:tr>
      <w:tr w:rsidR="00A8507D" w:rsidRPr="00A06B56" w14:paraId="2474CB1E" w14:textId="77777777" w:rsidTr="00A06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8785455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6B483A7C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</w:tcPr>
          <w:p w14:paraId="4CF89FAE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7" w:type="pct"/>
          </w:tcPr>
          <w:p w14:paraId="7912C121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</w:tcPr>
          <w:p w14:paraId="5F8816E8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7" w:type="pct"/>
          </w:tcPr>
          <w:p w14:paraId="02E3AF4E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73C901D3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0157E83B" w14:textId="77777777" w:rsidR="00A8507D" w:rsidRPr="00A06B56" w:rsidRDefault="00A8507D" w:rsidP="00E21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507D" w:rsidRPr="00A06B56" w14:paraId="07DAF574" w14:textId="77777777" w:rsidTr="00A0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FA113C5" w14:textId="77777777" w:rsidR="00A8507D" w:rsidRPr="00A06B56" w:rsidRDefault="00A8507D" w:rsidP="00E21F00">
            <w:pPr>
              <w:pStyle w:val="NoSpacing"/>
              <w:rPr>
                <w:sz w:val="18"/>
                <w:szCs w:val="18"/>
              </w:rPr>
            </w:pPr>
            <w:r w:rsidRPr="00A06B56">
              <w:rPr>
                <w:sz w:val="18"/>
                <w:szCs w:val="18"/>
              </w:rPr>
              <w:t>Observations for each model</w:t>
            </w:r>
          </w:p>
        </w:tc>
        <w:tc>
          <w:tcPr>
            <w:tcW w:w="490" w:type="pct"/>
          </w:tcPr>
          <w:p w14:paraId="518031B0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7304</w:t>
            </w:r>
          </w:p>
        </w:tc>
        <w:tc>
          <w:tcPr>
            <w:tcW w:w="818" w:type="pct"/>
          </w:tcPr>
          <w:p w14:paraId="3DFF0936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7" w:type="pct"/>
          </w:tcPr>
          <w:p w14:paraId="7C113DB9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</w:tcPr>
          <w:p w14:paraId="3C79CBA2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B56">
              <w:rPr>
                <w:rFonts w:eastAsia="Times New Roman"/>
                <w:color w:val="000000"/>
                <w:sz w:val="18"/>
                <w:szCs w:val="18"/>
              </w:rPr>
              <w:t>7304</w:t>
            </w:r>
          </w:p>
        </w:tc>
        <w:tc>
          <w:tcPr>
            <w:tcW w:w="667" w:type="pct"/>
          </w:tcPr>
          <w:p w14:paraId="2785CF35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536AF76C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49A2DBE6" w14:textId="77777777" w:rsidR="00A8507D" w:rsidRPr="00A06B56" w:rsidRDefault="00A8507D" w:rsidP="00E21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B1A3ED2" w14:textId="77777777" w:rsidR="00A8507D" w:rsidRPr="00A8507D" w:rsidRDefault="00A8507D" w:rsidP="00A8507D">
      <w:pPr>
        <w:pStyle w:val="NoSpacing"/>
        <w:rPr>
          <w:sz w:val="16"/>
          <w:szCs w:val="16"/>
        </w:rPr>
      </w:pPr>
      <w:proofErr w:type="spellStart"/>
      <w:proofErr w:type="gramStart"/>
      <w:r w:rsidRPr="00A8507D">
        <w:rPr>
          <w:sz w:val="16"/>
          <w:szCs w:val="16"/>
        </w:rPr>
        <w:t>pp</w:t>
      </w:r>
      <w:proofErr w:type="spellEnd"/>
      <w:proofErr w:type="gramEnd"/>
      <w:r w:rsidRPr="00A8507D">
        <w:rPr>
          <w:sz w:val="16"/>
          <w:szCs w:val="16"/>
        </w:rPr>
        <w:t xml:space="preserve">: percentage point </w:t>
      </w:r>
    </w:p>
    <w:p w14:paraId="62869F1E" w14:textId="7651C454" w:rsidR="00A06B56" w:rsidRPr="00493A7C" w:rsidRDefault="00A06B56" w:rsidP="00A06B56">
      <w:pPr>
        <w:pStyle w:val="NoSpacing"/>
        <w:rPr>
          <w:rFonts w:ascii="Calibri" w:hAnsi="Calibri"/>
          <w:sz w:val="16"/>
          <w:szCs w:val="16"/>
        </w:rPr>
      </w:pPr>
      <w:r w:rsidRPr="00493A7C">
        <w:rPr>
          <w:rFonts w:ascii="Calibri" w:hAnsi="Calibri"/>
          <w:sz w:val="16"/>
          <w:szCs w:val="16"/>
        </w:rPr>
        <w:t>All activities were transformed using the inverse hyperbolic sine transformation</w:t>
      </w:r>
      <w:r w:rsidR="005577BA">
        <w:rPr>
          <w:rFonts w:ascii="Calibri" w:hAnsi="Calibri"/>
          <w:sz w:val="16"/>
          <w:szCs w:val="16"/>
        </w:rPr>
        <w:t>;</w:t>
      </w:r>
      <w:r>
        <w:rPr>
          <w:rFonts w:ascii="Calibri" w:hAnsi="Calibri"/>
          <w:sz w:val="16"/>
          <w:szCs w:val="16"/>
        </w:rPr>
        <w:t xml:space="preserve"> e</w:t>
      </w:r>
      <w:r w:rsidRPr="00493A7C">
        <w:rPr>
          <w:rFonts w:ascii="Calibri" w:hAnsi="Calibri"/>
          <w:sz w:val="16"/>
          <w:szCs w:val="16"/>
        </w:rPr>
        <w:t>stimate gives the relative (risk) difference in emergency department use for intervention versus comparators</w:t>
      </w:r>
      <w:r w:rsidR="005577BA">
        <w:rPr>
          <w:rFonts w:ascii="Calibri" w:hAnsi="Calibri"/>
          <w:sz w:val="16"/>
          <w:szCs w:val="16"/>
        </w:rPr>
        <w:t>;</w:t>
      </w:r>
      <w:r>
        <w:rPr>
          <w:rFonts w:ascii="Calibri" w:hAnsi="Calibri"/>
          <w:sz w:val="16"/>
          <w:szCs w:val="16"/>
        </w:rPr>
        <w:t xml:space="preserve"> e</w:t>
      </w:r>
      <w:r w:rsidRPr="00493A7C">
        <w:rPr>
          <w:rFonts w:ascii="Calibri" w:hAnsi="Calibri"/>
          <w:sz w:val="16"/>
          <w:szCs w:val="16"/>
        </w:rPr>
        <w:t>ach estimate is obtained from a separate difference-in-differences regression</w:t>
      </w:r>
      <w:r w:rsidR="005577BA">
        <w:rPr>
          <w:rFonts w:ascii="Calibri" w:hAnsi="Calibri"/>
          <w:sz w:val="16"/>
          <w:szCs w:val="16"/>
        </w:rPr>
        <w:t>.</w:t>
      </w:r>
    </w:p>
    <w:p w14:paraId="61933536" w14:textId="39E5BA3C" w:rsidR="00A06B56" w:rsidRPr="00AF06EC" w:rsidRDefault="00A06B56" w:rsidP="00A06B56">
      <w:pPr>
        <w:pStyle w:val="NoSpacing"/>
        <w:rPr>
          <w:rFonts w:ascii="Calibri" w:hAnsi="Calibri"/>
          <w:sz w:val="16"/>
          <w:szCs w:val="16"/>
        </w:rPr>
      </w:pPr>
      <w:r w:rsidRPr="00AF06EC">
        <w:rPr>
          <w:rFonts w:ascii="Calibri" w:hAnsi="Calibri"/>
          <w:sz w:val="16"/>
          <w:szCs w:val="16"/>
        </w:rPr>
        <w:t>Intervention group is matched Greater Manchester intervention practices, and comparator group is all Greater Manchester matched non-intervention practices; sample size for each model is 7,304; this is the matched (weighted) sample using kernel propensity score matching</w:t>
      </w:r>
      <w:r w:rsidR="005577BA">
        <w:rPr>
          <w:rFonts w:ascii="Calibri" w:hAnsi="Calibri"/>
          <w:sz w:val="16"/>
          <w:szCs w:val="16"/>
        </w:rPr>
        <w:t>.</w:t>
      </w:r>
    </w:p>
    <w:p w14:paraId="78A4BA29" w14:textId="77777777" w:rsidR="00A06B56" w:rsidRPr="00A8507D" w:rsidRDefault="00A06B56" w:rsidP="009B2EA4">
      <w:pPr>
        <w:pStyle w:val="NoSpacing"/>
        <w:rPr>
          <w:rFonts w:ascii="Calibri" w:hAnsi="Calibri"/>
          <w:sz w:val="16"/>
          <w:szCs w:val="16"/>
        </w:rPr>
      </w:pPr>
      <w:bookmarkStart w:id="0" w:name="_GoBack"/>
      <w:bookmarkEnd w:id="0"/>
    </w:p>
    <w:p w14:paraId="5D842923" w14:textId="77777777" w:rsidR="00652B80" w:rsidRDefault="00652B80" w:rsidP="00180862"/>
    <w:sectPr w:rsidR="00652B80" w:rsidSect="005B1C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1B"/>
    <w:rsid w:val="00075DD5"/>
    <w:rsid w:val="00180862"/>
    <w:rsid w:val="001B7848"/>
    <w:rsid w:val="001C344D"/>
    <w:rsid w:val="004E4827"/>
    <w:rsid w:val="005577BA"/>
    <w:rsid w:val="005B1CAD"/>
    <w:rsid w:val="00652B80"/>
    <w:rsid w:val="00701960"/>
    <w:rsid w:val="0074720A"/>
    <w:rsid w:val="007A68CD"/>
    <w:rsid w:val="009B2EA4"/>
    <w:rsid w:val="009E11C7"/>
    <w:rsid w:val="00A06B56"/>
    <w:rsid w:val="00A31B07"/>
    <w:rsid w:val="00A8507D"/>
    <w:rsid w:val="00BE04B7"/>
    <w:rsid w:val="00D71887"/>
    <w:rsid w:val="00E71C1B"/>
    <w:rsid w:val="00E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C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7D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C1B"/>
    <w:rPr>
      <w:rFonts w:eastAsiaTheme="minorEastAsia"/>
      <w:sz w:val="22"/>
      <w:szCs w:val="22"/>
      <w:lang w:val="en-GB" w:eastAsia="en-GB"/>
    </w:rPr>
  </w:style>
  <w:style w:type="table" w:customStyle="1" w:styleId="ListTable31">
    <w:name w:val="List Table 31"/>
    <w:basedOn w:val="TableNormal"/>
    <w:uiPriority w:val="48"/>
    <w:rsid w:val="00E71C1B"/>
    <w:rPr>
      <w:rFonts w:eastAsiaTheme="minorEastAsia"/>
      <w:sz w:val="22"/>
      <w:szCs w:val="22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7D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C1B"/>
    <w:rPr>
      <w:rFonts w:eastAsiaTheme="minorEastAsia"/>
      <w:sz w:val="22"/>
      <w:szCs w:val="22"/>
      <w:lang w:val="en-GB" w:eastAsia="en-GB"/>
    </w:rPr>
  </w:style>
  <w:style w:type="table" w:customStyle="1" w:styleId="ListTable31">
    <w:name w:val="List Table 31"/>
    <w:basedOn w:val="TableNormal"/>
    <w:uiPriority w:val="48"/>
    <w:rsid w:val="00E71C1B"/>
    <w:rPr>
      <w:rFonts w:eastAsiaTheme="minorEastAsia"/>
      <w:sz w:val="22"/>
      <w:szCs w:val="22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8DFAD1-B9AA-8045-B818-B780826D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Whittaker</dc:creator>
  <cp:keywords/>
  <dc:description/>
  <cp:lastModifiedBy>Will Whittaker</cp:lastModifiedBy>
  <cp:revision>6</cp:revision>
  <dcterms:created xsi:type="dcterms:W3CDTF">2016-06-23T11:44:00Z</dcterms:created>
  <dcterms:modified xsi:type="dcterms:W3CDTF">2016-07-27T13:29:00Z</dcterms:modified>
</cp:coreProperties>
</file>