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C4" w:rsidRPr="00CC2C49" w:rsidRDefault="00E170C4" w:rsidP="00FB233B">
      <w:pPr>
        <w:rPr>
          <w:b/>
          <w:bCs/>
        </w:rPr>
      </w:pPr>
      <w:proofErr w:type="gramStart"/>
      <w:r>
        <w:rPr>
          <w:b/>
          <w:bCs/>
        </w:rPr>
        <w:t>S3</w:t>
      </w:r>
      <w:r w:rsidR="00FB233B">
        <w:rPr>
          <w:b/>
          <w:bCs/>
        </w:rPr>
        <w:t xml:space="preserve"> Text.</w:t>
      </w:r>
      <w:proofErr w:type="gramEnd"/>
      <w:r>
        <w:rPr>
          <w:b/>
          <w:bCs/>
        </w:rPr>
        <w:t xml:space="preserve"> Sensitivity analysis assuming patients with Genotype-3 HCV receive 24-week treatment of sofosbuvir and patients with non-Genotype-3 HCV receive 12-week treatment of sofosbuvir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0"/>
        <w:gridCol w:w="1763"/>
        <w:gridCol w:w="2124"/>
        <w:gridCol w:w="1690"/>
        <w:gridCol w:w="1495"/>
        <w:gridCol w:w="1604"/>
        <w:gridCol w:w="2652"/>
        <w:gridCol w:w="1134"/>
        <w:gridCol w:w="1139"/>
        <w:gridCol w:w="1139"/>
        <w:gridCol w:w="1166"/>
        <w:gridCol w:w="2521"/>
        <w:gridCol w:w="2273"/>
      </w:tblGrid>
      <w:tr w:rsidR="008C02A6" w:rsidRPr="00305ABF" w:rsidTr="008C02A6">
        <w:trPr>
          <w:trHeight w:val="96"/>
        </w:trPr>
        <w:tc>
          <w:tcPr>
            <w:tcW w:w="41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Country 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:rsidR="008C02A6" w:rsidRPr="008C02A6" w:rsidRDefault="008C02A6" w:rsidP="008C02A6">
            <w:pPr>
              <w:spacing w:before="20" w:after="20"/>
              <w:jc w:val="center"/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2014 Population</w:t>
            </w:r>
            <w:r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8C02A6" w:rsidRPr="00AC5920" w:rsidRDefault="008C02A6" w:rsidP="00E170C4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Adult population with HCV viraemia</w:t>
            </w:r>
            <w:r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5" w:type="pct"/>
            <w:gridSpan w:val="2"/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HCV genotype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 distribution</w:t>
            </w:r>
          </w:p>
        </w:tc>
        <w:tc>
          <w:tcPr>
            <w:tcW w:w="355" w:type="pct"/>
            <w:vMerge w:val="restart"/>
            <w:shd w:val="clear" w:color="auto" w:fill="D9D9D9" w:themeFill="background1" w:themeFillShade="D9"/>
            <w:vAlign w:val="center"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Price (USD PPP)</w:t>
            </w:r>
          </w:p>
        </w:tc>
        <w:tc>
          <w:tcPr>
            <w:tcW w:w="587" w:type="pct"/>
            <w:vMerge w:val="restart"/>
            <w:shd w:val="clear" w:color="auto" w:fill="D9D9D9" w:themeFill="background1" w:themeFillShade="D9"/>
            <w:vAlign w:val="center"/>
          </w:tcPr>
          <w:p w:rsidR="008C02A6" w:rsidRPr="00305ABF" w:rsidRDefault="008C02A6" w:rsidP="0050086D">
            <w:pPr>
              <w:spacing w:before="20" w:after="2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Price weighted by different duration of treatment according to genotype distribution (USD PPP)</w:t>
            </w:r>
          </w:p>
        </w:tc>
        <w:tc>
          <w:tcPr>
            <w:tcW w:w="1013" w:type="pct"/>
            <w:gridSpan w:val="4"/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Percentage of TPE</w:t>
            </w:r>
          </w:p>
        </w:tc>
        <w:tc>
          <w:tcPr>
            <w:tcW w:w="1061" w:type="pct"/>
            <w:gridSpan w:val="2"/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Number of years worked </w:t>
            </w:r>
          </w:p>
        </w:tc>
      </w:tr>
      <w:tr w:rsidR="008C02A6" w:rsidRPr="00305ABF" w:rsidTr="008C02A6">
        <w:trPr>
          <w:trHeight w:val="77"/>
        </w:trPr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AC5920" w:rsidRDefault="008C02A6" w:rsidP="0079225C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Type 3</w:t>
            </w:r>
            <w:r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AC5920" w:rsidRDefault="008C02A6" w:rsidP="0079225C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Other</w:t>
            </w:r>
            <w:r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E170C4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AC5920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10%</w:t>
            </w:r>
            <w:r>
              <w:rPr>
                <w:rFonts w:asciiTheme="minorBidi" w:eastAsia="Times New Roman" w:hAnsiTheme="minorBid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50%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>*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75%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>*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100%</w:t>
            </w:r>
            <w:r>
              <w:rPr>
                <w:rFonts w:asciiTheme="minorBidi" w:eastAsia="Times New Roman" w:hAnsiTheme="minorBidi"/>
                <w:sz w:val="18"/>
                <w:szCs w:val="18"/>
              </w:rPr>
              <w:t>*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E170C4">
            <w:pPr>
              <w:spacing w:before="20" w:after="20"/>
              <w:ind w:right="309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5ABF">
              <w:rPr>
                <w:rFonts w:asciiTheme="minorBidi" w:hAnsiTheme="minorBidi"/>
                <w:sz w:val="18"/>
                <w:szCs w:val="18"/>
              </w:rPr>
              <w:t>Average wage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2A6" w:rsidRPr="00305ABF" w:rsidRDefault="008C02A6" w:rsidP="00E170C4">
            <w:pPr>
              <w:spacing w:before="20" w:after="20"/>
              <w:ind w:right="309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5ABF">
              <w:rPr>
                <w:rFonts w:asciiTheme="minorBidi" w:hAnsiTheme="minorBidi"/>
                <w:sz w:val="18"/>
                <w:szCs w:val="18"/>
              </w:rPr>
              <w:t>Minimum wage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tcBorders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Sofosbuvir</w:t>
            </w:r>
          </w:p>
        </w:tc>
        <w:tc>
          <w:tcPr>
            <w:tcW w:w="390" w:type="pct"/>
            <w:tcBorders>
              <w:right w:val="nil"/>
            </w:tcBorders>
            <w:shd w:val="clear" w:color="auto" w:fill="F2F2F2" w:themeFill="background1" w:themeFillShade="F2"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E170C4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79225C">
            <w:pPr>
              <w:spacing w:before="20" w:after="20"/>
              <w:ind w:firstLineChars="100" w:firstLine="18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E170C4">
            <w:pPr>
              <w:spacing w:before="20" w:after="20"/>
              <w:ind w:right="309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left w:val="nil"/>
            </w:tcBorders>
            <w:shd w:val="clear" w:color="auto" w:fill="F2F2F2" w:themeFill="background1" w:themeFillShade="F2"/>
            <w:hideMark/>
          </w:tcPr>
          <w:p w:rsidR="008C02A6" w:rsidRPr="00305ABF" w:rsidRDefault="008C02A6" w:rsidP="00E170C4">
            <w:pPr>
              <w:spacing w:before="20" w:after="20"/>
              <w:ind w:right="309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</w:tr>
      <w:tr w:rsidR="008C02A6" w:rsidRPr="00305ABF" w:rsidTr="008C02A6">
        <w:trPr>
          <w:trHeight w:val="99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Austria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8,502,960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27,000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19.0%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$37,819.85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$45,005.62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12.7%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19.1%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25.5%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0.98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1.86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Belgium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11,283,680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69,000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19.0%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$37,662.53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$44,818.42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18.6%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27.9%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37.2%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0.93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1.48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Canada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35,711,400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245,000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22.3%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78%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$33,578.76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$41,066.82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18.3%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27.4%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36.5%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0.85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1.78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Denmark</w:t>
            </w:r>
          </w:p>
        </w:tc>
        <w:tc>
          <w:tcPr>
            <w:tcW w:w="390" w:type="pct"/>
            <w:vAlign w:val="center"/>
          </w:tcPr>
          <w:p w:rsidR="008C02A6" w:rsidRPr="00305ABF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5,596,683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21,000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43.0%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57%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$30,799.32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$44,043.03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28.0%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42.0%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56.0%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0.89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1.11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Finland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5,465,000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22,298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46.0%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54%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$33,397.53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$48,760.40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4.2%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21.1%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31.6%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42.1%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1.20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1.19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France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64,359,600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197,000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19.7%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80%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$38,076.91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$45,578.06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2.1%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10.7%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16.1%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21.4%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1.12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1.55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FB233B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hyperlink r:id="rId6" w:history="1">
              <w:r w:rsidR="008C02A6" w:rsidRPr="00305ABF">
                <w:rPr>
                  <w:rFonts w:asciiTheme="minorBidi" w:eastAsia="Times New Roman" w:hAnsiTheme="minorBidi"/>
                  <w:sz w:val="18"/>
                  <w:szCs w:val="18"/>
                </w:rPr>
                <w:t>Germany</w:t>
              </w:r>
            </w:hyperlink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80,921,000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267,000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27.4%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73%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$42,623.20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$54,301.96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13.4%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20.1%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26.8%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1.24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1.83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Greece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11,380,900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128,033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34.0%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$51,459.40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$68,955.60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12.9%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64.7%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97.1%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129.4%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2.61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4.37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Ireland</w:t>
            </w:r>
          </w:p>
        </w:tc>
        <w:tc>
          <w:tcPr>
            <w:tcW w:w="390" w:type="pct"/>
            <w:vAlign w:val="center"/>
          </w:tcPr>
          <w:p w:rsidR="008C02A6" w:rsidRPr="00305ABF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4,609,900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30,000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39.0%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$43,383.16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$60,302.59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5.9%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29.5%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44.2%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58.9%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1.13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2.06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Italy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61,417,630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768,000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3.6%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96%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$45,704.77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$47,350.14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11.5%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57.6%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86.4%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115.1%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1.36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1.09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Japan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126,948,800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1,252,000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100%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$37,970.60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$37,970.60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5.2%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26.1%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39.1%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52.1%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1.06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2.02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Netherlands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16,918,490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22,298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29.3%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$35,778.23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$46,261.25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1.4%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6.8%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10.2%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13.5%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0.91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1.52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New Zealand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4,388,200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48,192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35.0%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65%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$41,937.77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$56,615.99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20.9%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104.7%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157.0%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209.3%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2.00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Norway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5,137,000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23,000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28.1%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72%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$28,092.07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$35,985.94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3.9%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19.5%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29.2%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38.9%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0.70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0.73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Poland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38,037,110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196,000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13.8%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$101,062.56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$115,009.19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18.5%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92.3%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138.4%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184.5%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4.86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7.43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Portugal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10,740,980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117,963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34.0%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$57,384.45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$76,895.17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17.8%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89.2%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133.8%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178.4%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3.21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5.31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Slovak Republic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5,415,963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32,000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6.6%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93%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$63,815.36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$68,027.17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7.5%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37.5%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56.3%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75.1%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3.07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5.77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Slovenia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2,096,086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-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37.8%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62%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$52,293.02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$72,059.79</w:t>
            </w:r>
          </w:p>
        </w:tc>
        <w:tc>
          <w:tcPr>
            <w:tcW w:w="251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252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252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258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2.18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3.27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Spain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45,943,290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472,000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19.6%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80%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$47,870.62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$57,253.26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12.0%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59.8%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89.7%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119.6%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1.59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3.56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Sweden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9,699,000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41,000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33.8%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66%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$30,589.51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$40,928.76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18.1%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27.1%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36.2%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1.00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1.25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Switzerland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8,074,925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75,525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29.2%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$31,191.43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$40,299.32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6.7%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33.6%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50.3%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67.1%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0.71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1.42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Turkey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76,902,870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434,000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4.9%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95%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$70,331.40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$73,777.64</w:t>
            </w:r>
          </w:p>
        </w:tc>
        <w:tc>
          <w:tcPr>
            <w:tcW w:w="251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-</w:t>
            </w:r>
          </w:p>
        </w:tc>
        <w:tc>
          <w:tcPr>
            <w:tcW w:w="252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-</w:t>
            </w:r>
          </w:p>
        </w:tc>
        <w:tc>
          <w:tcPr>
            <w:tcW w:w="252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-</w:t>
            </w:r>
          </w:p>
        </w:tc>
        <w:tc>
          <w:tcPr>
            <w:tcW w:w="258" w:type="pct"/>
            <w:noWrap/>
            <w:vAlign w:val="bottom"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>-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5.54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4.63 </w:t>
            </w:r>
          </w:p>
        </w:tc>
      </w:tr>
      <w:tr w:rsidR="008C02A6" w:rsidRPr="00305ABF" w:rsidTr="008C02A6">
        <w:trPr>
          <w:trHeight w:val="240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United Kingdom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64,090,610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210,000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43.8%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56%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$33,283.85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$47,862.17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4.3%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21.4%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32.1%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42.7%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1.15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1.49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United States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318,892,100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2,575,000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8.9%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91%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$64,680.00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$70,436.52</w:t>
            </w:r>
          </w:p>
        </w:tc>
        <w:tc>
          <w:tcPr>
            <w:tcW w:w="251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5.6%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28.2%</w:t>
            </w:r>
          </w:p>
        </w:tc>
        <w:tc>
          <w:tcPr>
            <w:tcW w:w="252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42.2%</w:t>
            </w:r>
          </w:p>
        </w:tc>
        <w:tc>
          <w:tcPr>
            <w:tcW w:w="2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>56.3%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1.23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3.33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Brazil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199,492,400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1,939,000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30.2%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70%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$9,708.05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$12,639.88</w:t>
            </w:r>
          </w:p>
        </w:tc>
        <w:tc>
          <w:tcPr>
            <w:tcW w:w="251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1.66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1.73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India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1,267,402,000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6,026,000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54.4%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46%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$1,861.16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$2,873.63</w:t>
            </w:r>
          </w:p>
        </w:tc>
        <w:tc>
          <w:tcPr>
            <w:tcW w:w="251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0.93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Egypt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83,386,739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5,623,000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0.8%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99%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$3,116.52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$3,141.45</w:t>
            </w:r>
          </w:p>
        </w:tc>
        <w:tc>
          <w:tcPr>
            <w:tcW w:w="251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0.21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0.33 </w:t>
            </w:r>
          </w:p>
        </w:tc>
      </w:tr>
      <w:tr w:rsidR="008C02A6" w:rsidRPr="00305ABF" w:rsidTr="008C02A6">
        <w:trPr>
          <w:trHeight w:val="96"/>
        </w:trPr>
        <w:tc>
          <w:tcPr>
            <w:tcW w:w="418" w:type="pct"/>
            <w:noWrap/>
            <w:hideMark/>
          </w:tcPr>
          <w:p w:rsidR="008C02A6" w:rsidRPr="00305ABF" w:rsidRDefault="008C02A6" w:rsidP="0079225C">
            <w:pPr>
              <w:spacing w:before="20" w:after="2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Mongolia</w:t>
            </w:r>
          </w:p>
        </w:tc>
        <w:tc>
          <w:tcPr>
            <w:tcW w:w="390" w:type="pct"/>
            <w:vAlign w:val="center"/>
          </w:tcPr>
          <w:p w:rsidR="008C02A6" w:rsidRPr="008C02A6" w:rsidRDefault="008C02A6" w:rsidP="008C02A6">
            <w:pPr>
              <w:spacing w:before="20" w:after="20"/>
              <w:ind w:firstLineChars="200" w:firstLine="360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8C02A6">
              <w:rPr>
                <w:rFonts w:asciiTheme="minorBidi" w:eastAsia="Times New Roman" w:hAnsiTheme="minorBidi"/>
                <w:sz w:val="18"/>
                <w:szCs w:val="18"/>
              </w:rPr>
              <w:t>2,881,415</w:t>
            </w:r>
          </w:p>
        </w:tc>
        <w:tc>
          <w:tcPr>
            <w:tcW w:w="470" w:type="pct"/>
            <w:noWrap/>
            <w:hideMark/>
          </w:tcPr>
          <w:p w:rsidR="008C02A6" w:rsidRPr="00305ABF" w:rsidRDefault="008C02A6" w:rsidP="00E170C4">
            <w:pPr>
              <w:spacing w:before="20" w:after="20"/>
              <w:ind w:firstLineChars="200" w:firstLine="360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155,000 </w:t>
            </w:r>
          </w:p>
        </w:tc>
        <w:tc>
          <w:tcPr>
            <w:tcW w:w="374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0.0%</w:t>
            </w:r>
          </w:p>
        </w:tc>
        <w:tc>
          <w:tcPr>
            <w:tcW w:w="331" w:type="pct"/>
            <w:noWrap/>
            <w:hideMark/>
          </w:tcPr>
          <w:p w:rsidR="008C02A6" w:rsidRPr="00305ABF" w:rsidRDefault="008C02A6" w:rsidP="0079225C">
            <w:pPr>
              <w:spacing w:before="20" w:after="20"/>
              <w:ind w:firstLineChars="200" w:firstLine="360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>100%</w:t>
            </w:r>
          </w:p>
        </w:tc>
        <w:tc>
          <w:tcPr>
            <w:tcW w:w="355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$2,603.57</w:t>
            </w:r>
          </w:p>
        </w:tc>
        <w:tc>
          <w:tcPr>
            <w:tcW w:w="587" w:type="pct"/>
            <w:noWrap/>
            <w:vAlign w:val="bottom"/>
            <w:hideMark/>
          </w:tcPr>
          <w:p w:rsidR="008C02A6" w:rsidRDefault="008C02A6" w:rsidP="00644B32">
            <w:pPr>
              <w:ind w:right="192" w:firstLineChars="100" w:firstLine="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$2,603.57</w:t>
            </w:r>
          </w:p>
        </w:tc>
        <w:tc>
          <w:tcPr>
            <w:tcW w:w="251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2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noWrap/>
          </w:tcPr>
          <w:p w:rsidR="008C02A6" w:rsidRPr="00305ABF" w:rsidRDefault="008C02A6" w:rsidP="0079225C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/>
                <w:sz w:val="18"/>
                <w:szCs w:val="18"/>
              </w:rPr>
              <w:t xml:space="preserve">- </w:t>
            </w:r>
            <w:r w:rsidRPr="00305ABF">
              <w:rPr>
                <w:rFonts w:asciiTheme="minorBidi" w:eastAsia="Times New Roman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558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-   </w:t>
            </w:r>
          </w:p>
        </w:tc>
        <w:tc>
          <w:tcPr>
            <w:tcW w:w="503" w:type="pct"/>
            <w:noWrap/>
            <w:vAlign w:val="bottom"/>
            <w:hideMark/>
          </w:tcPr>
          <w:p w:rsidR="008C02A6" w:rsidRPr="00644B32" w:rsidRDefault="008C02A6" w:rsidP="00644B32">
            <w:pPr>
              <w:spacing w:before="20" w:after="20"/>
              <w:ind w:right="309"/>
              <w:jc w:val="right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44B32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0.51 </w:t>
            </w:r>
          </w:p>
        </w:tc>
      </w:tr>
    </w:tbl>
    <w:p w:rsidR="00AC5920" w:rsidRDefault="00AC5920"/>
    <w:p w:rsidR="008C02A6" w:rsidRDefault="00AC5920" w:rsidP="008C02A6">
      <w:r>
        <w:t xml:space="preserve">1. </w:t>
      </w:r>
      <w:r w:rsidR="008C02A6">
        <w:t>Population estimates taken from OECD Historical Population Data and Projections (1950-2050) for OECD countries, India, and Brazil and from 20</w:t>
      </w:r>
      <w:r w:rsidR="0018578E">
        <w:t>14 World Bank Total Population estimates for Egypt and Mongolia.</w:t>
      </w:r>
    </w:p>
    <w:p w:rsidR="00AC5920" w:rsidRDefault="008C02A6">
      <w:r>
        <w:t xml:space="preserve">2. </w:t>
      </w:r>
      <w:r w:rsidR="00AC5920">
        <w:t>Based on point estimates identified by Gower et al. 2014</w:t>
      </w:r>
    </w:p>
    <w:p w:rsidR="002341BC" w:rsidRDefault="008C02A6" w:rsidP="00AC5920">
      <w:r>
        <w:t>3</w:t>
      </w:r>
      <w:r w:rsidR="00AC5920">
        <w:t xml:space="preserve">. </w:t>
      </w:r>
      <w:r w:rsidR="00953DAF">
        <w:t>Percentage of HCV population receiving treatment</w:t>
      </w:r>
    </w:p>
    <w:sectPr w:rsidR="002341BC" w:rsidSect="00E170C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4"/>
    <w:rsid w:val="0018578E"/>
    <w:rsid w:val="001A64D3"/>
    <w:rsid w:val="002341BC"/>
    <w:rsid w:val="0050086D"/>
    <w:rsid w:val="00644B32"/>
    <w:rsid w:val="008C02A6"/>
    <w:rsid w:val="00953DAF"/>
    <w:rsid w:val="00AC5920"/>
    <w:rsid w:val="00CE49E7"/>
    <w:rsid w:val="00E170C4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ts.oecd.org/OECDStat_Metadata/ShowMetadata.ashx?Dataset=POP_FIVE_HIST&amp;Coords=%5bLOCATION%5d.%5bDEU%5d&amp;ShowOnWeb=true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A6E0-FA6A-46BE-9469-35C5634A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IYENGAR, Swathi Bhargav</dc:creator>
  <cp:lastModifiedBy>IYENGAR, Swathi Bhargav</cp:lastModifiedBy>
  <cp:revision>8</cp:revision>
  <dcterms:created xsi:type="dcterms:W3CDTF">2016-01-21T18:24:00Z</dcterms:created>
  <dcterms:modified xsi:type="dcterms:W3CDTF">2016-03-10T13:33:00Z</dcterms:modified>
</cp:coreProperties>
</file>