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2543"/>
        <w:gridCol w:w="2015"/>
        <w:gridCol w:w="9112"/>
      </w:tblGrid>
      <w:tr w:rsidR="00BE1EF4" w:rsidRPr="00BC0D34" w:rsidTr="002E559D">
        <w:trPr>
          <w:trHeight w:val="21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BE1EF4" w:rsidRDefault="00BE1EF4" w:rsidP="002028BB">
            <w:pPr>
              <w:pStyle w:val="Heading1"/>
              <w:spacing w:before="120"/>
              <w:outlineLvl w:val="0"/>
            </w:pPr>
            <w:r w:rsidRPr="00F45F6C">
              <w:t xml:space="preserve">Consensus overall risk of bias ratings by study and corresponding reasons for ranking of </w:t>
            </w:r>
            <w:proofErr w:type="spellStart"/>
            <w:r w:rsidR="00D015CE">
              <w:t>McGettigan</w:t>
            </w:r>
            <w:proofErr w:type="spellEnd"/>
            <w:r w:rsidR="00D015CE">
              <w:t xml:space="preserve"> and Henry [1</w:t>
            </w:r>
            <w:r>
              <w:t>]</w:t>
            </w:r>
            <w:r w:rsidRPr="00F45F6C">
              <w:t xml:space="preserve"> component studies</w:t>
            </w:r>
          </w:p>
          <w:p w:rsidR="00BE1EF4" w:rsidRPr="00172D19" w:rsidRDefault="00BE1EF4" w:rsidP="00BE1EF4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172D19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Reference numbers for the studies are provided in Table 2</w:t>
            </w:r>
          </w:p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2A4C45" w:rsidRDefault="00BE1EF4" w:rsidP="002E559D">
            <w:pP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Component study</w:t>
            </w:r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 xml:space="preserve">Overall </w:t>
            </w:r>
            <w:proofErr w:type="spellStart"/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RoB</w:t>
            </w:r>
            <w:proofErr w:type="spellEnd"/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 xml:space="preserve"> Judgements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BE1EF4" w:rsidRPr="00BC0D34" w:rsidTr="002E559D">
        <w:trPr>
          <w:trHeight w:val="216"/>
        </w:trPr>
        <w:tc>
          <w:tcPr>
            <w:tcW w:w="5000" w:type="pct"/>
            <w:gridSpan w:val="3"/>
            <w:shd w:val="clear" w:color="auto" w:fill="EEECE1" w:themeFill="background2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Cohort</w:t>
            </w:r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 xml:space="preserve"> Study Design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Curtis</w:t>
            </w:r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Excluded recurrent MI (people dying after recurrent MI are not captured, may be more probable in aspirin only group),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Drug info only available at discharge (can change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over time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Unsure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about degree of missing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data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(table 1 reports only %, no mention of missing n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Gislason</w:t>
            </w:r>
            <w:proofErr w:type="spellEnd"/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Case crossover analysis also done to assess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significance of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missing confounders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MacDonald</w:t>
            </w:r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No OTC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drugs included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but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assessment done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to test importance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), behavioural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confounding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variables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also missing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Mamdani</w:t>
            </w:r>
            <w:proofErr w:type="spellEnd"/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missing confounders: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OTC, behavioural variables, drug proxies for comorbidities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Ray, 2002a</w:t>
            </w:r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missing confounders: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OTC, behavioural variables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Ray, 2002b</w:t>
            </w:r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missing confounders: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OTC, behavioural variables</w:t>
            </w:r>
          </w:p>
        </w:tc>
      </w:tr>
      <w:tr w:rsidR="00BE1EF4" w:rsidRPr="00BC0D34" w:rsidTr="002E559D">
        <w:trPr>
          <w:trHeight w:val="216"/>
        </w:trPr>
        <w:tc>
          <w:tcPr>
            <w:tcW w:w="5000" w:type="pct"/>
            <w:gridSpan w:val="3"/>
            <w:shd w:val="clear" w:color="auto" w:fill="EEECE1" w:themeFill="background2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 xml:space="preserve">Case </w:t>
            </w:r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BC0D34"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>ontrol</w:t>
            </w:r>
            <w:r>
              <w:rPr>
                <w:rFonts w:ascii="Helvetica" w:hAnsi="Helvetica" w:cs="Helvetica"/>
                <w:b/>
                <w:i/>
                <w:iCs/>
                <w:color w:val="000000" w:themeColor="text1"/>
                <w:sz w:val="20"/>
                <w:szCs w:val="20"/>
              </w:rPr>
              <w:t xml:space="preserve"> Study Design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Bak</w:t>
            </w:r>
            <w:proofErr w:type="spellEnd"/>
          </w:p>
        </w:tc>
        <w:tc>
          <w:tcPr>
            <w:tcW w:w="737" w:type="pct"/>
            <w:noWrap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Limited direct exposure measures (e.g. prescription drugs as proxies for comorbidities), no behavioural variables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included as confounders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Fischer</w:t>
            </w:r>
          </w:p>
        </w:tc>
        <w:tc>
          <w:tcPr>
            <w:tcW w:w="737" w:type="pct"/>
            <w:noWrap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missing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drug use (likely confounder)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missing data in BMI, smoking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Garcia Rodriquez, 2000</w:t>
            </w:r>
          </w:p>
        </w:tc>
        <w:tc>
          <w:tcPr>
            <w:tcW w:w="737" w:type="pct"/>
            <w:noWrap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missing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drug use (likely confounder)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missing data in smoking (unsure if differential)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Garcia Rodriquez, 2004</w:t>
            </w:r>
          </w:p>
        </w:tc>
        <w:tc>
          <w:tcPr>
            <w:tcW w:w="737" w:type="pct"/>
            <w:noWrap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missing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drug use (likely confounder)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can't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determine degree of missing data across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intervention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groups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(unlikely to be differential)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lastRenderedPageBreak/>
              <w:t>Graham</w:t>
            </w:r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Did additional survey to look at unmeasured confounders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Hippisley</w:t>
            </w:r>
            <w:proofErr w:type="spellEnd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-Cox</w:t>
            </w:r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missing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drug use (likely confounder)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analysis using complete data shows difference for naproxen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Johnsen</w:t>
            </w:r>
          </w:p>
        </w:tc>
        <w:tc>
          <w:tcPr>
            <w:tcW w:w="737" w:type="pct"/>
            <w:noWrap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missing confounders: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OTC, behavioural variables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Kimmel, 2004</w:t>
            </w:r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missing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drug use (likely confounder)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Population-based controls (healthier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, may have poor recall of NSAID use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recall bias (exposure measured retrospectively by interviewing)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high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%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missing data (unlikely to be differential but may misclassify some MI events)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low participation rate</w:t>
            </w:r>
          </w:p>
        </w:tc>
      </w:tr>
      <w:tr w:rsidR="00BE1EF4" w:rsidRPr="00BC0D34" w:rsidTr="002E559D">
        <w:trPr>
          <w:trHeight w:val="73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Kimmel, 2005</w:t>
            </w:r>
          </w:p>
        </w:tc>
        <w:tc>
          <w:tcPr>
            <w:tcW w:w="737" w:type="pct"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Same as Kimmel, 2004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Levesque</w:t>
            </w:r>
          </w:p>
        </w:tc>
        <w:tc>
          <w:tcPr>
            <w:tcW w:w="737" w:type="pct"/>
            <w:noWrap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missing confounders: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OTC, behavioural variables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McGettigan</w:t>
            </w:r>
            <w:proofErr w:type="spellEnd"/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Recall bias possible (exposure measured retrospectively through interviews)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possible info about MI risk circulating 2003-2004, recall may be different (3.3)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Schlienger</w:t>
            </w:r>
            <w:proofErr w:type="spellEnd"/>
          </w:p>
        </w:tc>
        <w:tc>
          <w:tcPr>
            <w:tcW w:w="737" w:type="pct"/>
            <w:noWrap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missing confounders: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OTC, behavioural variables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- 20-30% missing data (unlikely to be differential)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Solomon, 2002</w:t>
            </w:r>
          </w:p>
        </w:tc>
        <w:tc>
          <w:tcPr>
            <w:tcW w:w="737" w:type="pct"/>
            <w:noWrap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- missing confounders: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OTC, behavioural variables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Controls were AMI-free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f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or whole study period (healthier than average population)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did not discuss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intervention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switch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ing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within 180 days prior to event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 xml:space="preserve">- Many analyses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conducted 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(no reasons given for selecting 180 days vs. a year, as exposure period, etc.)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  <w:hideMark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Solomon, 2004</w:t>
            </w:r>
          </w:p>
        </w:tc>
        <w:tc>
          <w:tcPr>
            <w:tcW w:w="737" w:type="pct"/>
            <w:noWrap/>
            <w:vAlign w:val="center"/>
            <w:hideMark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Compared with Medicare survey of non-database variables (population based)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controls may be healthier than average population (no AMI throughout study period)</w:t>
            </w:r>
          </w:p>
        </w:tc>
      </w:tr>
      <w:tr w:rsidR="00BE1EF4" w:rsidRPr="00BC0D34" w:rsidTr="002E559D">
        <w:trPr>
          <w:trHeight w:val="216"/>
        </w:trPr>
        <w:tc>
          <w:tcPr>
            <w:tcW w:w="930" w:type="pct"/>
            <w:noWrap/>
          </w:tcPr>
          <w:p w:rsidR="00BE1EF4" w:rsidRPr="00BC0D34" w:rsidRDefault="00BE1EF4" w:rsidP="002E559D">
            <w:pPr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Watson</w:t>
            </w:r>
          </w:p>
        </w:tc>
        <w:tc>
          <w:tcPr>
            <w:tcW w:w="737" w:type="pct"/>
            <w:noWrap/>
            <w:vAlign w:val="center"/>
          </w:tcPr>
          <w:p w:rsidR="00BE1EF4" w:rsidRPr="00BC0D34" w:rsidRDefault="00BE1EF4" w:rsidP="002E559D">
            <w:pPr>
              <w:jc w:val="center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333" w:type="pct"/>
          </w:tcPr>
          <w:p w:rsidR="00BE1EF4" w:rsidRPr="00BC0D34" w:rsidRDefault="00BE1EF4" w:rsidP="002E559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- Populations are very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similar - all have RA (unlikely to have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significant confounding due to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OTC, BMI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– although these variables are not included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  <w:r w:rsidRPr="00BC0D34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br/>
              <w:t>- missing data, unclear if differential</w:t>
            </w:r>
          </w:p>
        </w:tc>
      </w:tr>
    </w:tbl>
    <w:p w:rsidR="00BE1EF4" w:rsidRPr="00BC0D34" w:rsidRDefault="00BE1EF4" w:rsidP="00BE1EF4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:rsidR="00524080" w:rsidRDefault="00D015CE">
      <w:r>
        <w:t>1.</w:t>
      </w:r>
      <w:r w:rsidRPr="00D015CE">
        <w:t xml:space="preserve"> </w:t>
      </w:r>
      <w:bookmarkStart w:id="0" w:name="_GoBack"/>
      <w:bookmarkEnd w:id="0"/>
      <w:proofErr w:type="spellStart"/>
      <w:r w:rsidRPr="00D015CE">
        <w:t>McGettigan</w:t>
      </w:r>
      <w:proofErr w:type="spellEnd"/>
      <w:r w:rsidRPr="00D015CE">
        <w:t xml:space="preserve"> P, Henry D. Cardiovascular risk and inhibition of cyclooxygenase: A systematic review of the observational studies of selective and nonselective inhibitors of cyclooxygenase 2. JAMA. 2006</w:t>
      </w:r>
      <w:proofErr w:type="gramStart"/>
      <w:r w:rsidRPr="00D015CE">
        <w:t>;296</w:t>
      </w:r>
      <w:proofErr w:type="gramEnd"/>
      <w:r w:rsidRPr="00D015CE">
        <w:t xml:space="preserve">(13):1633-44. </w:t>
      </w:r>
      <w:proofErr w:type="spellStart"/>
      <w:proofErr w:type="gramStart"/>
      <w:r w:rsidRPr="00D015CE">
        <w:t>doi</w:t>
      </w:r>
      <w:proofErr w:type="spellEnd"/>
      <w:proofErr w:type="gramEnd"/>
      <w:r w:rsidRPr="00D015CE">
        <w:t>: 10.1001/jama.296.13.jrv60011.</w:t>
      </w:r>
    </w:p>
    <w:sectPr w:rsidR="00524080" w:rsidSect="006E3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6E" w:rsidRDefault="0049186E" w:rsidP="00BE1EF4">
      <w:pPr>
        <w:spacing w:after="0" w:line="240" w:lineRule="auto"/>
      </w:pPr>
      <w:r>
        <w:separator/>
      </w:r>
    </w:p>
  </w:endnote>
  <w:endnote w:type="continuationSeparator" w:id="0">
    <w:p w:rsidR="0049186E" w:rsidRDefault="0049186E" w:rsidP="00BE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B7" w:rsidRDefault="00BF4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B7" w:rsidRDefault="00BF4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B7" w:rsidRDefault="00BF4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6E" w:rsidRDefault="0049186E" w:rsidP="00BE1EF4">
      <w:pPr>
        <w:spacing w:after="0" w:line="240" w:lineRule="auto"/>
      </w:pPr>
      <w:r>
        <w:separator/>
      </w:r>
    </w:p>
  </w:footnote>
  <w:footnote w:type="continuationSeparator" w:id="0">
    <w:p w:rsidR="0049186E" w:rsidRDefault="0049186E" w:rsidP="00BE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B7" w:rsidRDefault="00BF4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F4" w:rsidRPr="00BE1EF4" w:rsidRDefault="00BE1EF4" w:rsidP="00BE1EF4">
    <w:pPr>
      <w:rPr>
        <w:rFonts w:ascii="Helvetica" w:hAnsi="Helvetica" w:cs="Helvetica"/>
        <w:color w:val="000000" w:themeColor="text1"/>
        <w:sz w:val="20"/>
        <w:szCs w:val="20"/>
      </w:rPr>
    </w:pPr>
    <w:r>
      <w:rPr>
        <w:rFonts w:ascii="Helvetica" w:hAnsi="Helvetica" w:cs="Helvetica"/>
        <w:b/>
        <w:color w:val="000000" w:themeColor="text1"/>
        <w:sz w:val="20"/>
        <w:szCs w:val="20"/>
      </w:rPr>
      <w:t>S</w:t>
    </w:r>
    <w:r w:rsidR="00BF4DB7">
      <w:rPr>
        <w:rFonts w:ascii="Helvetica" w:hAnsi="Helvetica" w:cs="Helvetica"/>
        <w:b/>
        <w:color w:val="000000" w:themeColor="text1"/>
        <w:sz w:val="20"/>
        <w:szCs w:val="20"/>
      </w:rPr>
      <w:t xml:space="preserve">3 Table </w:t>
    </w:r>
  </w:p>
  <w:p w:rsidR="00BE1EF4" w:rsidRDefault="00BE1E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B7" w:rsidRDefault="00BF4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F4"/>
    <w:rsid w:val="00081A0F"/>
    <w:rsid w:val="00172D19"/>
    <w:rsid w:val="002028BB"/>
    <w:rsid w:val="002B6DC9"/>
    <w:rsid w:val="0049186E"/>
    <w:rsid w:val="00524080"/>
    <w:rsid w:val="00924723"/>
    <w:rsid w:val="00BE1EF4"/>
    <w:rsid w:val="00BF4DB7"/>
    <w:rsid w:val="00D015CE"/>
    <w:rsid w:val="00E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481D3-CDB5-4AF5-A047-5A073092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F4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BE1EF4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F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E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F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4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42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2028BB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02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Lockhart</cp:lastModifiedBy>
  <cp:revision>3</cp:revision>
  <dcterms:created xsi:type="dcterms:W3CDTF">2016-02-16T16:08:00Z</dcterms:created>
  <dcterms:modified xsi:type="dcterms:W3CDTF">2016-02-16T16:21:00Z</dcterms:modified>
</cp:coreProperties>
</file>