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CE2B3" w14:textId="77777777" w:rsidR="00000382" w:rsidRPr="00FF4EDA" w:rsidRDefault="00000382" w:rsidP="00000382">
      <w:pPr>
        <w:pStyle w:val="NormalWeb"/>
        <w:spacing w:before="240" w:beforeAutospacing="0" w:after="120" w:afterAutospacing="0"/>
        <w:contextualSpacing/>
        <w:rPr>
          <w:rFonts w:ascii="Century Schoolbook" w:hAnsi="Century Schoolbook" w:cstheme="minorBidi"/>
          <w:b/>
          <w:noProof/>
          <w:sz w:val="22"/>
          <w:szCs w:val="22"/>
        </w:rPr>
      </w:pPr>
      <w:r w:rsidRPr="00BF6BAA">
        <w:rPr>
          <w:rFonts w:ascii="Century Schoolbook" w:hAnsi="Century Schoolbook" w:cstheme="minorBidi"/>
          <w:b/>
          <w:noProof/>
          <w:sz w:val="22"/>
          <w:szCs w:val="22"/>
        </w:rPr>
        <w:t xml:space="preserve">Table </w:t>
      </w:r>
      <w:r>
        <w:rPr>
          <w:rFonts w:ascii="Century Schoolbook" w:hAnsi="Century Schoolbook" w:cstheme="minorBidi"/>
          <w:b/>
          <w:noProof/>
          <w:sz w:val="22"/>
          <w:szCs w:val="22"/>
        </w:rPr>
        <w:t>S6.</w:t>
      </w:r>
      <w:r w:rsidRPr="00BF6BAA">
        <w:rPr>
          <w:rFonts w:ascii="Century Schoolbook" w:hAnsi="Century Schoolbook" w:cstheme="minorBidi"/>
          <w:b/>
          <w:noProof/>
          <w:sz w:val="22"/>
          <w:szCs w:val="22"/>
        </w:rPr>
        <w:t xml:space="preserve"> </w:t>
      </w:r>
      <w:r>
        <w:rPr>
          <w:rFonts w:ascii="Century Schoolbook" w:hAnsi="Century Schoolbook"/>
          <w:sz w:val="22"/>
          <w:szCs w:val="22"/>
        </w:rPr>
        <w:t>Sensitivity analyses comparing the e</w:t>
      </w:r>
      <w:r w:rsidRPr="00184D83">
        <w:rPr>
          <w:rFonts w:ascii="Century Schoolbook" w:hAnsi="Century Schoolbook" w:cstheme="minorBidi"/>
          <w:noProof/>
          <w:sz w:val="22"/>
          <w:szCs w:val="22"/>
        </w:rPr>
        <w:t>ffects of an increase in paid maternity leave</w:t>
      </w:r>
      <w:r>
        <w:rPr>
          <w:rFonts w:ascii="Century Schoolbook" w:hAnsi="Century Schoolbook" w:cstheme="minorBidi"/>
          <w:noProof/>
          <w:sz w:val="22"/>
          <w:szCs w:val="22"/>
        </w:rPr>
        <w:t xml:space="preserve"> on the number of post-neonatal deaths per 1000 live births across different model specificiations, Demographic and Health Surveys, 2000-2007</w:t>
      </w: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941"/>
        <w:gridCol w:w="575"/>
        <w:gridCol w:w="523"/>
        <w:gridCol w:w="952"/>
        <w:gridCol w:w="559"/>
        <w:gridCol w:w="530"/>
        <w:gridCol w:w="957"/>
        <w:gridCol w:w="550"/>
        <w:gridCol w:w="533"/>
      </w:tblGrid>
      <w:tr w:rsidR="00000382" w14:paraId="3F7AD541" w14:textId="77777777" w:rsidTr="00A50434">
        <w:trPr>
          <w:trHeight w:val="42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94E3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BA9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(a) FTE measure of maternity leave</w:t>
            </w:r>
            <w:r w:rsidRPr="0080416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7C91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(b) Unweighted estimates</w:t>
            </w:r>
            <w:r w:rsidRPr="0080416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B0EF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(c) Analysis of lags and leads</w:t>
            </w:r>
            <w:r w:rsidRPr="0080416C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c</w:t>
            </w:r>
          </w:p>
        </w:tc>
      </w:tr>
      <w:tr w:rsidR="00000382" w14:paraId="5979DF6E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F42E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732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B02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LCL</w:t>
            </w:r>
            <w:r w:rsidRPr="0080416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9DA4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UCL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8DD5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142E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LCL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828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UCL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EAE3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Estimate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F1B0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LCL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8C3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UCL</w:t>
            </w:r>
          </w:p>
        </w:tc>
      </w:tr>
      <w:tr w:rsidR="00000382" w14:paraId="79FF6A59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6A42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Additional month of paid leave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2440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7FF5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C1F0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E0DD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64FA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328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1B3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C196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46C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000382" w14:paraId="52FB4E07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FCB6C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 xml:space="preserve">     Lagged three years, t-3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C81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529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AAC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FFBF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24B3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C229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021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573F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EA06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-3.3</w:t>
            </w:r>
          </w:p>
        </w:tc>
      </w:tr>
      <w:tr w:rsidR="00000382" w14:paraId="25C96661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4381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 xml:space="preserve">     Lagged two years, t-2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360F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C9B6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3BCC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F4C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3A7D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DC7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98B2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BB4E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8C1A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4.7</w:t>
            </w:r>
          </w:p>
        </w:tc>
      </w:tr>
      <w:tr w:rsidR="00000382" w14:paraId="7FC3C97C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3A695AC0" w14:textId="77777777" w:rsidR="00000382" w:rsidRDefault="00000382" w:rsidP="00A50434">
            <w:pPr>
              <w:ind w:firstLineChars="100" w:firstLine="173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Lagged one year, t-1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B447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D62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AB4A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0D80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BBC2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E5F4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97C9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E3C6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-8.5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FD2B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2.8</w:t>
            </w:r>
          </w:p>
        </w:tc>
      </w:tr>
      <w:tr w:rsidR="00000382" w14:paraId="39534612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1515A8CA" w14:textId="77777777" w:rsidR="00000382" w:rsidRDefault="00000382" w:rsidP="00A50434">
            <w:pPr>
              <w:ind w:firstLineChars="100" w:firstLine="160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Concurrent,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901E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07C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701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682B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4D7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2F97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83FC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3024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AD03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1.6</w:t>
            </w:r>
          </w:p>
        </w:tc>
      </w:tr>
      <w:tr w:rsidR="00000382" w14:paraId="5123EEA9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4AB3E3D3" w14:textId="77777777" w:rsidR="00000382" w:rsidRDefault="00000382" w:rsidP="00A50434">
            <w:pPr>
              <w:ind w:firstLineChars="100" w:firstLine="160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Lead, t+1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7F3D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23EF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59A7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384D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B521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1CF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6284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482A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671A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11.3</w:t>
            </w:r>
          </w:p>
        </w:tc>
      </w:tr>
      <w:tr w:rsidR="00000382" w14:paraId="0D17D602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A87AA0D" w14:textId="77777777" w:rsidR="00000382" w:rsidRDefault="00000382" w:rsidP="00A50434">
            <w:pPr>
              <w:ind w:firstLineChars="100" w:firstLine="160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Lead two years, t+2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9AB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2A70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ECE3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A454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FEC0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072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28D5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4BCC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A583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7.4</w:t>
            </w:r>
          </w:p>
        </w:tc>
      </w:tr>
      <w:tr w:rsidR="00000382" w14:paraId="558E4F14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  <w:hideMark/>
          </w:tcPr>
          <w:p w14:paraId="6679C6E4" w14:textId="77777777" w:rsidR="00000382" w:rsidRDefault="00000382" w:rsidP="00A50434">
            <w:pPr>
              <w:ind w:firstLineChars="100" w:firstLine="160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Lead three years, t+3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0138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430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EA2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19F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8C4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BED3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2ED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438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A251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-3.0</w:t>
            </w:r>
          </w:p>
        </w:tc>
      </w:tr>
      <w:tr w:rsidR="00000382" w14:paraId="1B5CF85E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C9D0A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15C4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Individual and household-level covariates</w:t>
            </w:r>
            <w:r w:rsidRPr="0080416C"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e</w:t>
            </w:r>
          </w:p>
        </w:tc>
      </w:tr>
      <w:tr w:rsidR="00000382" w14:paraId="2DFBB3E8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0DE07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Male 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28F0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4F8B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799F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B809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1CA9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099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862F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678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5C96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3.1</w:t>
            </w:r>
          </w:p>
        </w:tc>
      </w:tr>
      <w:tr w:rsidR="00000382" w14:paraId="2038B58A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19610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Mother's education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6A1E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EF13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B47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27CD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C0EA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B38F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5585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B7B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653C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</w:tr>
      <w:tr w:rsidR="00000382" w14:paraId="61EF84F1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9241C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2nd wealth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B09C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22B2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F0CB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7277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0C98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12C9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7AAA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1C7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0D45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1.9</w:t>
            </w:r>
          </w:p>
        </w:tc>
      </w:tr>
      <w:tr w:rsidR="00000382" w14:paraId="65761746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C023E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3rd wealth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EE58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95B0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6828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B0EA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CDAF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9944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E0A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D1CF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C506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0.0</w:t>
            </w:r>
          </w:p>
        </w:tc>
      </w:tr>
      <w:tr w:rsidR="00000382" w14:paraId="3BB49F34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7C2AD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4th wealth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4566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40C2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41B4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8239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AA17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20A6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5208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CB29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B19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-1.7</w:t>
            </w:r>
          </w:p>
        </w:tc>
      </w:tr>
      <w:tr w:rsidR="00000382" w14:paraId="1E7FC8B2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6915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5th quintile (highest)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8004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F7FB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FDE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0602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5C52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A703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FED8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773E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89C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-3.3</w:t>
            </w:r>
          </w:p>
        </w:tc>
      </w:tr>
      <w:tr w:rsidR="00000382" w14:paraId="256441CA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319C0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Urban residence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FA05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7B97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223F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A23C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C595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780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6B14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C358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622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4.8</w:t>
            </w:r>
          </w:p>
        </w:tc>
      </w:tr>
      <w:tr w:rsidR="00000382" w14:paraId="609B0D54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A5E5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Short birth interval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50EE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A273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F144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344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2FA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50BC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1EA1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9C6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578E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20.7</w:t>
            </w:r>
          </w:p>
        </w:tc>
      </w:tr>
      <w:tr w:rsidR="00000382" w14:paraId="694DE155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3532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Maternal age 20-39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14854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8F0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A26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9B4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75D7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99A8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A60C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40429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2B1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-2.5</w:t>
            </w:r>
          </w:p>
        </w:tc>
      </w:tr>
      <w:tr w:rsidR="00000382" w14:paraId="3025A6E7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6600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Maternal age &gt;=40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7EBF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40DD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2CF69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BC9B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7076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355D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173D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5212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56AF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6.0</w:t>
            </w:r>
          </w:p>
        </w:tc>
      </w:tr>
      <w:tr w:rsidR="00000382" w14:paraId="5C78BF7E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BA98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Skilled attendant at delivery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3286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26A7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BFA2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761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908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A212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79EC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43138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2119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-1.5</w:t>
            </w:r>
          </w:p>
        </w:tc>
      </w:tr>
      <w:tr w:rsidR="00000382" w14:paraId="5277ADB4" w14:textId="77777777" w:rsidTr="00A5043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71A1E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1C67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i/>
                <w:iCs/>
                <w:color w:val="000000"/>
                <w:sz w:val="16"/>
                <w:szCs w:val="16"/>
              </w:rPr>
              <w:t>Country-level covariates</w:t>
            </w:r>
          </w:p>
        </w:tc>
      </w:tr>
      <w:tr w:rsidR="00000382" w14:paraId="59A37A92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FB093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Wage replacement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5DD9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53DA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DC8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C736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4A3F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226B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5513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89C8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A4EF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0.2</w:t>
            </w:r>
          </w:p>
        </w:tc>
      </w:tr>
      <w:tr w:rsidR="00000382" w14:paraId="436D58FD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21904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ln GDP per capita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6907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0C8D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504D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7A32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7B742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-50.9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3B33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01867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5212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-62.3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669BA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82.0</w:t>
            </w:r>
          </w:p>
        </w:tc>
      </w:tr>
      <w:tr w:rsidR="00000382" w14:paraId="4E01C8AF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BC929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female labor force participation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10F4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3C10D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61FAA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6D8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A8E0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6B9A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CBD6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A85F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2FA8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0.6</w:t>
            </w:r>
          </w:p>
        </w:tc>
      </w:tr>
      <w:tr w:rsidR="00000382" w14:paraId="2FCE1528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D1E5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ln government health expenditure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CFC63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B0C4E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3B181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D58E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9B61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AA3E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E80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55D7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E660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6.7</w:t>
            </w:r>
          </w:p>
        </w:tc>
      </w:tr>
      <w:tr w:rsidR="00000382" w14:paraId="45036A28" w14:textId="77777777" w:rsidTr="00A50434">
        <w:trPr>
          <w:trHeight w:val="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72DB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ln total health expenditure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8EE7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FFEFB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590D0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16D2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5918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7C51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0AEE5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28D6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-25.3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56292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0.5</w:t>
            </w:r>
          </w:p>
        </w:tc>
      </w:tr>
      <w:tr w:rsidR="00000382" w14:paraId="5726FECF" w14:textId="77777777" w:rsidTr="00A50434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68AF" w14:textId="77777777" w:rsidR="00000382" w:rsidRDefault="00000382" w:rsidP="00A50434">
            <w:pP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Sample size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C77C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274716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9A594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274716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0E2F" w14:textId="77777777" w:rsidR="00000382" w:rsidRDefault="00000382" w:rsidP="00A50434">
            <w:pPr>
              <w:jc w:val="center"/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16"/>
                <w:szCs w:val="16"/>
              </w:rPr>
              <w:t>274716</w:t>
            </w:r>
          </w:p>
        </w:tc>
      </w:tr>
    </w:tbl>
    <w:p w14:paraId="0E0A2DF5" w14:textId="77777777" w:rsidR="00000382" w:rsidRPr="00912230" w:rsidRDefault="00000382" w:rsidP="00000382">
      <w:pPr>
        <w:pStyle w:val="NormalWeb"/>
        <w:spacing w:before="120" w:beforeAutospacing="0" w:after="0" w:afterAutospacing="0"/>
        <w:contextualSpacing/>
        <w:rPr>
          <w:rFonts w:ascii="Century Schoolbook" w:hAnsi="Century Schoolbook" w:cs="Arial"/>
        </w:rPr>
      </w:pPr>
      <w:r w:rsidRPr="00912230">
        <w:rPr>
          <w:rFonts w:ascii="Century Schoolbook" w:eastAsia="Times New Roman" w:hAnsi="Century Schoolbook"/>
          <w:bCs/>
          <w:color w:val="000000"/>
          <w:vertAlign w:val="superscript"/>
        </w:rPr>
        <w:t>a</w:t>
      </w:r>
      <w:r w:rsidRPr="00912230">
        <w:rPr>
          <w:rFonts w:ascii="Century Schoolbook" w:eastAsia="Times New Roman" w:hAnsi="Century Schoolbook"/>
          <w:bCs/>
          <w:color w:val="000000"/>
        </w:rPr>
        <w:t xml:space="preserve"> Model (a) measures </w:t>
      </w:r>
      <w:r w:rsidRPr="00912230">
        <w:rPr>
          <w:rFonts w:ascii="Century Schoolbook" w:hAnsi="Century Schoolbook" w:cs="Arial"/>
        </w:rPr>
        <w:t>the effects of an additional month of paid leave in full time equivalent (FTE) units, obtained by multiplying the legislated length of leave by the wage replacement rate</w:t>
      </w:r>
      <w:r>
        <w:rPr>
          <w:rFonts w:ascii="Century Schoolbook" w:hAnsi="Century Schoolbook" w:cs="Arial"/>
        </w:rPr>
        <w:t xml:space="preserve"> (therefore this model does not additionally control for the wage replacement rate)</w:t>
      </w:r>
    </w:p>
    <w:p w14:paraId="3791D2EA" w14:textId="77777777" w:rsidR="00000382" w:rsidRPr="00912230" w:rsidRDefault="00000382" w:rsidP="00000382">
      <w:pPr>
        <w:pStyle w:val="NormalWeb"/>
        <w:spacing w:before="240" w:beforeAutospacing="0" w:after="0" w:afterAutospacing="0"/>
        <w:contextualSpacing/>
        <w:rPr>
          <w:rFonts w:ascii="Century Schoolbook" w:hAnsi="Century Schoolbook" w:cstheme="minorBidi"/>
          <w:noProof/>
        </w:rPr>
      </w:pPr>
      <w:r>
        <w:rPr>
          <w:rFonts w:ascii="Century Schoolbook" w:hAnsi="Century Schoolbook" w:cstheme="minorBidi"/>
          <w:noProof/>
          <w:vertAlign w:val="superscript"/>
        </w:rPr>
        <w:t>b</w:t>
      </w:r>
      <w:r w:rsidRPr="00912230">
        <w:rPr>
          <w:rFonts w:ascii="Century Schoolbook" w:hAnsi="Century Schoolbook" w:cstheme="minorBidi"/>
          <w:noProof/>
        </w:rPr>
        <w:t xml:space="preserve"> M</w:t>
      </w:r>
      <w:r>
        <w:rPr>
          <w:rFonts w:ascii="Century Schoolbook" w:hAnsi="Century Schoolbook" w:cstheme="minorBidi"/>
          <w:noProof/>
        </w:rPr>
        <w:t>odel (b</w:t>
      </w:r>
      <w:r w:rsidRPr="00912230">
        <w:rPr>
          <w:rFonts w:ascii="Century Schoolbook" w:hAnsi="Century Schoolbook" w:cstheme="minorBidi"/>
          <w:noProof/>
        </w:rPr>
        <w:t>) provides unweighted estimates</w:t>
      </w:r>
    </w:p>
    <w:p w14:paraId="70553CB6" w14:textId="77777777" w:rsidR="00000382" w:rsidRDefault="00000382" w:rsidP="00000382">
      <w:pPr>
        <w:pStyle w:val="NormalWeb"/>
        <w:spacing w:before="240" w:beforeAutospacing="0" w:after="0" w:afterAutospacing="0"/>
        <w:contextualSpacing/>
        <w:rPr>
          <w:rFonts w:ascii="Century Schoolbook" w:hAnsi="Century Schoolbook"/>
        </w:rPr>
      </w:pPr>
      <w:r>
        <w:rPr>
          <w:rFonts w:ascii="Century Schoolbook" w:hAnsi="Century Schoolbook"/>
          <w:vertAlign w:val="superscript"/>
        </w:rPr>
        <w:t>c</w:t>
      </w:r>
      <w:r>
        <w:rPr>
          <w:rFonts w:ascii="Century Schoolbook" w:hAnsi="Century Schoolbook"/>
        </w:rPr>
        <w:t xml:space="preserve"> Model (c</w:t>
      </w:r>
      <w:r w:rsidRPr="00912230">
        <w:rPr>
          <w:rFonts w:ascii="Century Schoolbook" w:hAnsi="Century Schoolbook"/>
        </w:rPr>
        <w:t xml:space="preserve">) added to our primary exposure, the lagged effect of paid maternity leave (t-1), parameters representing paid maternity leave in preceding years (t-3, t-2), the survey year (t), and subsequent years (t+1, t+2, t+3); this model examines if there were persistent effects of the policy changes (t-3, t-2), and whether effects </w:t>
      </w:r>
      <w:r>
        <w:rPr>
          <w:rFonts w:ascii="Century Schoolbook" w:hAnsi="Century Schoolbook"/>
        </w:rPr>
        <w:t>of policy changes that occurred</w:t>
      </w:r>
      <w:r w:rsidRPr="00912230">
        <w:rPr>
          <w:rFonts w:ascii="Century Schoolbook" w:hAnsi="Century Schoolbook"/>
        </w:rPr>
        <w:t xml:space="preserve"> during or </w:t>
      </w:r>
      <w:r>
        <w:rPr>
          <w:rFonts w:ascii="Century Schoolbook" w:hAnsi="Century Schoolbook"/>
        </w:rPr>
        <w:t>after</w:t>
      </w:r>
      <w:r w:rsidRPr="00912230">
        <w:rPr>
          <w:rFonts w:ascii="Century Schoolbook" w:hAnsi="Century Schoolbook"/>
        </w:rPr>
        <w:t xml:space="preserve"> the measurement of our outcomes</w:t>
      </w:r>
      <w:r>
        <w:rPr>
          <w:rFonts w:ascii="Century Schoolbook" w:hAnsi="Century Schoolbook"/>
        </w:rPr>
        <w:t xml:space="preserve"> were observed </w:t>
      </w:r>
      <w:r w:rsidRPr="00912230">
        <w:rPr>
          <w:rFonts w:ascii="Century Schoolbook" w:hAnsi="Century Schoolbook"/>
        </w:rPr>
        <w:t>(</w:t>
      </w:r>
      <w:r>
        <w:rPr>
          <w:rFonts w:ascii="Century Schoolbook" w:hAnsi="Century Schoolbook"/>
        </w:rPr>
        <w:t xml:space="preserve">t, </w:t>
      </w:r>
      <w:r w:rsidRPr="00912230">
        <w:rPr>
          <w:rFonts w:ascii="Century Schoolbook" w:hAnsi="Century Schoolbook"/>
        </w:rPr>
        <w:t>t+1, t+2, t+3)</w:t>
      </w:r>
    </w:p>
    <w:p w14:paraId="11070CEE" w14:textId="77777777" w:rsidR="00000382" w:rsidRDefault="00000382" w:rsidP="00000382">
      <w:pPr>
        <w:pStyle w:val="NormalWeb"/>
        <w:spacing w:before="120" w:beforeAutospacing="0" w:after="0" w:afterAutospacing="0"/>
        <w:contextualSpacing/>
        <w:rPr>
          <w:rFonts w:ascii="Century Schoolbook" w:hAnsi="Century Schoolbook" w:cs="Arial"/>
        </w:rPr>
      </w:pPr>
      <w:r>
        <w:rPr>
          <w:rFonts w:ascii="Century Schoolbook" w:hAnsi="Century Schoolbook" w:cstheme="minorBidi"/>
          <w:noProof/>
          <w:vertAlign w:val="superscript"/>
        </w:rPr>
        <w:t>d</w:t>
      </w:r>
      <w:r w:rsidRPr="00912230">
        <w:rPr>
          <w:rFonts w:ascii="Century Schoolbook" w:hAnsi="Century Schoolbook" w:cs="Arial"/>
        </w:rPr>
        <w:t xml:space="preserve"> LCL and UCL indicate lower and upper limits of the 95% confidence interval, respectively</w:t>
      </w:r>
    </w:p>
    <w:p w14:paraId="5687AED9" w14:textId="77777777" w:rsidR="00000382" w:rsidRDefault="00000382" w:rsidP="00000382">
      <w:pPr>
        <w:pStyle w:val="NormalWeb"/>
        <w:spacing w:before="240" w:beforeAutospacing="0" w:after="0" w:afterAutospacing="0"/>
        <w:contextualSpacing/>
        <w:rPr>
          <w:rFonts w:ascii="Century Schoolbook" w:hAnsi="Century Schoolbook"/>
        </w:rPr>
      </w:pPr>
      <w:r>
        <w:rPr>
          <w:rFonts w:ascii="Century Schoolbook" w:hAnsi="Century Schoolbook" w:cstheme="minorBidi"/>
          <w:noProof/>
          <w:vertAlign w:val="superscript"/>
        </w:rPr>
        <w:t>e</w:t>
      </w:r>
      <w:r w:rsidRPr="002E5863">
        <w:rPr>
          <w:rFonts w:ascii="Century Schoolbook" w:hAnsi="Century Schoolbook" w:cstheme="minorBidi"/>
          <w:noProof/>
        </w:rPr>
        <w:t xml:space="preserve"> R</w:t>
      </w:r>
      <w:r w:rsidRPr="00ED6A38">
        <w:rPr>
          <w:rFonts w:ascii="Century Schoolbook" w:hAnsi="Century Schoolbook" w:cstheme="minorBidi"/>
          <w:noProof/>
        </w:rPr>
        <w:t>eference</w:t>
      </w:r>
      <w:r>
        <w:rPr>
          <w:rFonts w:ascii="Century Schoolbook" w:hAnsi="Century Schoolbook" w:cstheme="minorBidi"/>
          <w:noProof/>
        </w:rPr>
        <w:t xml:space="preserve"> categories for categorical variables are female (vs. male) gender, the 1</w:t>
      </w:r>
      <w:r w:rsidRPr="00ED6A38">
        <w:rPr>
          <w:rFonts w:ascii="Century Schoolbook" w:hAnsi="Century Schoolbook" w:cstheme="minorBidi"/>
          <w:noProof/>
          <w:vertAlign w:val="superscript"/>
        </w:rPr>
        <w:t>st</w:t>
      </w:r>
      <w:r>
        <w:rPr>
          <w:rFonts w:ascii="Century Schoolbook" w:hAnsi="Century Schoolbook" w:cstheme="minorBidi"/>
          <w:noProof/>
        </w:rPr>
        <w:t xml:space="preserve"> (lowest) wealth quintile, rural (vs. urban) residence,</w:t>
      </w:r>
      <w:r w:rsidRPr="003006E1">
        <w:rPr>
          <w:rFonts w:ascii="Century Schoolbook" w:hAnsi="Century Schoolbook" w:cstheme="minorBidi"/>
          <w:noProof/>
        </w:rPr>
        <w:t xml:space="preserve"> </w:t>
      </w:r>
      <w:r>
        <w:rPr>
          <w:rFonts w:ascii="Century Schoolbook" w:hAnsi="Century Schoolbook" w:cstheme="minorBidi"/>
          <w:noProof/>
        </w:rPr>
        <w:t>longer (vs. &lt;24 month) birth interval, lower (&lt;20 year) maternal age, and absence (vs. presence) or a skilled attendant at delivery</w:t>
      </w:r>
    </w:p>
    <w:p w14:paraId="6773CCB3" w14:textId="334F3DA6" w:rsidR="00C568BD" w:rsidRPr="00000382" w:rsidRDefault="00C568BD" w:rsidP="00000382">
      <w:bookmarkStart w:id="0" w:name="_GoBack"/>
      <w:bookmarkEnd w:id="0"/>
    </w:p>
    <w:sectPr w:rsidR="00C568BD" w:rsidRPr="00000382" w:rsidSect="00C15541">
      <w:pgSz w:w="12240" w:h="15840"/>
      <w:pgMar w:top="1440" w:right="99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1"/>
    <w:rsid w:val="00000382"/>
    <w:rsid w:val="001B329C"/>
    <w:rsid w:val="00451443"/>
    <w:rsid w:val="0053032A"/>
    <w:rsid w:val="00535E53"/>
    <w:rsid w:val="009D636D"/>
    <w:rsid w:val="00C15541"/>
    <w:rsid w:val="00C568BD"/>
    <w:rsid w:val="00EE66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41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5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Macintosh Word</Application>
  <DocSecurity>0</DocSecurity>
  <Lines>21</Lines>
  <Paragraphs>6</Paragraphs>
  <ScaleCrop>false</ScaleCrop>
  <Company>Harvard University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Nandi</dc:creator>
  <cp:keywords/>
  <dc:description/>
  <cp:lastModifiedBy>Arijit Nandi</cp:lastModifiedBy>
  <cp:revision>2</cp:revision>
  <dcterms:created xsi:type="dcterms:W3CDTF">2016-02-10T06:07:00Z</dcterms:created>
  <dcterms:modified xsi:type="dcterms:W3CDTF">2016-02-10T06:07:00Z</dcterms:modified>
</cp:coreProperties>
</file>