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4D" w:rsidRDefault="009133F5" w:rsidP="00A9144D">
      <w:pPr>
        <w:spacing w:line="480" w:lineRule="auto"/>
        <w:jc w:val="both"/>
        <w:rPr>
          <w:rStyle w:val="Heading1Char"/>
          <w:rFonts w:cs="Arial"/>
          <w:sz w:val="20"/>
          <w:szCs w:val="20"/>
        </w:rPr>
      </w:pPr>
      <w:r>
        <w:rPr>
          <w:rStyle w:val="Heading1Char"/>
          <w:rFonts w:cs="Arial"/>
          <w:sz w:val="20"/>
          <w:szCs w:val="20"/>
        </w:rPr>
        <w:t>S1_Table</w:t>
      </w:r>
      <w:r w:rsidR="00A9144D">
        <w:rPr>
          <w:rStyle w:val="Heading1Char"/>
          <w:rFonts w:cs="Arial"/>
          <w:sz w:val="20"/>
          <w:szCs w:val="20"/>
        </w:rPr>
        <w:t>. M</w:t>
      </w:r>
      <w:bookmarkStart w:id="0" w:name="_GoBack"/>
      <w:bookmarkEnd w:id="0"/>
      <w:r w:rsidR="00A9144D">
        <w:rPr>
          <w:rStyle w:val="Heading1Char"/>
          <w:rFonts w:cs="Arial"/>
          <w:sz w:val="20"/>
          <w:szCs w:val="20"/>
        </w:rPr>
        <w:t>orbidity and mortality and adverse events incidence rates by study arm – Per-Protocol</w:t>
      </w:r>
    </w:p>
    <w:tbl>
      <w:tblPr>
        <w:tblStyle w:val="TableGrid"/>
        <w:tblW w:w="8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1727"/>
        <w:gridCol w:w="1727"/>
        <w:gridCol w:w="2033"/>
        <w:gridCol w:w="1080"/>
      </w:tblGrid>
      <w:tr w:rsidR="00A9144D" w:rsidTr="00A914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CTX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Incidence per 100 person years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(number of cases)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253.5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 CTX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Incidence per 100 person years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(number of cases)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E6254">
              <w:rPr>
                <w:rFonts w:ascii="Arial" w:hAnsi="Arial" w:cs="Arial"/>
                <w:b/>
                <w:sz w:val="20"/>
                <w:szCs w:val="20"/>
              </w:rPr>
              <w:t xml:space="preserve">49.2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D" w:rsidRDefault="00A91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Incidence rate ratio (IRR)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A9144D" w:rsidRDefault="00A91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value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9144D" w:rsidTr="00A914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outcome: malaria, pneumonia, diarrhea, and mortality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 (34)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E6254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 (1.52, 3.</w:t>
            </w:r>
            <w:r w:rsidR="002E6254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Mortality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 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 (0)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02 </w:t>
            </w:r>
            <w:r>
              <w:rPr>
                <w:rFonts w:ascii="Arial" w:hAnsi="Arial" w:cs="Arial"/>
                <w:sz w:val="20"/>
                <w:szCs w:val="20"/>
              </w:rPr>
              <w:t>(0.00, 39.</w:t>
            </w:r>
            <w:r w:rsidR="002E6254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 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56 </w:t>
            </w:r>
            <w:r>
              <w:rPr>
                <w:rFonts w:ascii="Arial" w:hAnsi="Arial" w:cs="Arial"/>
                <w:sz w:val="20"/>
                <w:szCs w:val="20"/>
              </w:rPr>
              <w:t>(4.</w:t>
            </w:r>
            <w:r w:rsidR="002E6254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 24</w:t>
            </w:r>
            <w:r w:rsidR="002E625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E6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 (7)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E625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2E6254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, 3.</w:t>
            </w:r>
            <w:r w:rsidR="002E6254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C00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5DD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Diarrhea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 (25)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E62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2E6254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C00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D5DD9">
              <w:rPr>
                <w:rFonts w:ascii="Arial" w:hAnsi="Arial" w:cs="Arial"/>
                <w:sz w:val="20"/>
                <w:szCs w:val="20"/>
              </w:rPr>
              <w:t xml:space="preserve">38 </w:t>
            </w: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DD5DD9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, 2.</w:t>
            </w:r>
            <w:r w:rsidR="00DD5DD9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D5D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9144D" w:rsidTr="00A914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(11)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C00738" w:rsidP="00C00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  <w:r w:rsidR="00A914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91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340EC1" w:rsidP="00340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</w:t>
            </w:r>
            <w:r w:rsidR="00A914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0.94</w:t>
            </w:r>
            <w:r w:rsidR="00A9144D">
              <w:rPr>
                <w:rFonts w:ascii="Arial" w:hAnsi="Arial" w:cs="Arial"/>
                <w:sz w:val="20"/>
                <w:szCs w:val="20"/>
              </w:rPr>
              <w:t>, 4.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A91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340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40EC1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3 or higher SAEs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(9)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C00738" w:rsidP="00C00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  <w:r w:rsidR="00A914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91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340EC1" w:rsidP="00340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  <w:r w:rsidR="00A9144D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A9144D">
              <w:rPr>
                <w:rFonts w:ascii="Arial" w:hAnsi="Arial" w:cs="Arial"/>
                <w:sz w:val="20"/>
                <w:szCs w:val="20"/>
              </w:rPr>
              <w:t>, 4.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91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340E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40EC1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SAEs deemed potentially related to the 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(5)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C00738" w:rsidP="00C00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="00A914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91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340EC1">
              <w:rPr>
                <w:rFonts w:ascii="Arial" w:hAnsi="Arial" w:cs="Arial"/>
                <w:sz w:val="20"/>
                <w:szCs w:val="20"/>
              </w:rPr>
              <w:t xml:space="preserve">44 </w:t>
            </w: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340EC1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0EC1">
              <w:rPr>
                <w:rFonts w:ascii="Arial" w:hAnsi="Arial" w:cs="Arial"/>
                <w:sz w:val="20"/>
                <w:szCs w:val="20"/>
              </w:rPr>
              <w:t>6.91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40EC1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</w:tr>
      <w:tr w:rsidR="00A9144D" w:rsidTr="00A9144D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2 or higher AEs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 (161)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 w:rsidP="00213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3B6F">
              <w:rPr>
                <w:rFonts w:ascii="Arial" w:hAnsi="Arial" w:cs="Arial"/>
                <w:sz w:val="20"/>
                <w:szCs w:val="20"/>
              </w:rPr>
              <w:t xml:space="preserve">8.7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0738">
              <w:rPr>
                <w:rFonts w:ascii="Arial" w:hAnsi="Arial" w:cs="Arial"/>
                <w:sz w:val="20"/>
                <w:szCs w:val="20"/>
              </w:rPr>
              <w:t>246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40EC1">
              <w:rPr>
                <w:rFonts w:ascii="Arial" w:hAnsi="Arial" w:cs="Arial"/>
                <w:sz w:val="20"/>
                <w:szCs w:val="20"/>
              </w:rPr>
              <w:t xml:space="preserve">55 </w:t>
            </w:r>
            <w:r>
              <w:rPr>
                <w:rFonts w:ascii="Arial" w:hAnsi="Arial" w:cs="Arial"/>
                <w:sz w:val="20"/>
                <w:szCs w:val="20"/>
              </w:rPr>
              <w:t>(1.</w:t>
            </w:r>
            <w:r w:rsidR="00340EC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 1.</w:t>
            </w:r>
            <w:r w:rsidR="00340EC1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D" w:rsidRDefault="00A9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A9144D" w:rsidRDefault="00A9144D" w:rsidP="00A9144D">
      <w:pPr>
        <w:spacing w:after="0" w:line="240" w:lineRule="auto"/>
        <w:rPr>
          <w:rStyle w:val="Heading1Char"/>
          <w:rFonts w:cs="Arial"/>
          <w:b w:val="0"/>
          <w:sz w:val="18"/>
          <w:szCs w:val="18"/>
        </w:rPr>
      </w:pPr>
      <w:r>
        <w:rPr>
          <w:rStyle w:val="Heading1Char"/>
          <w:rFonts w:cs="Arial"/>
          <w:b w:val="0"/>
          <w:sz w:val="18"/>
          <w:szCs w:val="18"/>
          <w:vertAlign w:val="superscript"/>
        </w:rPr>
        <w:t>1</w:t>
      </w:r>
      <w:r>
        <w:rPr>
          <w:rStyle w:val="Heading1Char"/>
          <w:rFonts w:cs="Arial"/>
          <w:b w:val="0"/>
          <w:sz w:val="18"/>
          <w:szCs w:val="18"/>
        </w:rPr>
        <w:t xml:space="preserve"> IRRs estimated using Poisson regression with robust error variance, except where indicated. </w:t>
      </w:r>
    </w:p>
    <w:p w:rsidR="00A9144D" w:rsidRDefault="00A9144D" w:rsidP="00A9144D">
      <w:pPr>
        <w:spacing w:after="0" w:line="240" w:lineRule="auto"/>
        <w:rPr>
          <w:rStyle w:val="Heading1Char"/>
          <w:rFonts w:cs="Arial"/>
          <w:b w:val="0"/>
          <w:sz w:val="18"/>
          <w:szCs w:val="18"/>
        </w:rPr>
      </w:pPr>
      <w:r>
        <w:rPr>
          <w:rStyle w:val="Heading1Char"/>
          <w:rFonts w:cs="Arial"/>
          <w:b w:val="0"/>
          <w:sz w:val="18"/>
          <w:szCs w:val="18"/>
          <w:vertAlign w:val="superscript"/>
        </w:rPr>
        <w:t>2</w:t>
      </w:r>
      <w:r>
        <w:rPr>
          <w:rStyle w:val="Heading1Char"/>
          <w:rFonts w:cs="Arial"/>
          <w:b w:val="0"/>
          <w:sz w:val="18"/>
          <w:szCs w:val="18"/>
        </w:rPr>
        <w:t xml:space="preserve"> For test of null hypothesis: IRR=1. </w:t>
      </w:r>
    </w:p>
    <w:p w:rsidR="00250646" w:rsidRDefault="00250646"/>
    <w:sectPr w:rsidR="0025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4D"/>
    <w:rsid w:val="001E613A"/>
    <w:rsid w:val="00213B6F"/>
    <w:rsid w:val="00250646"/>
    <w:rsid w:val="002E6254"/>
    <w:rsid w:val="00340EC1"/>
    <w:rsid w:val="009133F5"/>
    <w:rsid w:val="00A9144D"/>
    <w:rsid w:val="00C00738"/>
    <w:rsid w:val="00C921DA"/>
    <w:rsid w:val="00C953C5"/>
    <w:rsid w:val="00D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44D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4D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A91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144D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4D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A91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Yuhas</dc:creator>
  <cp:lastModifiedBy>Christina Stephanie Polyak</cp:lastModifiedBy>
  <cp:revision>2</cp:revision>
  <dcterms:created xsi:type="dcterms:W3CDTF">2015-11-23T01:04:00Z</dcterms:created>
  <dcterms:modified xsi:type="dcterms:W3CDTF">2015-11-23T01:04:00Z</dcterms:modified>
</cp:coreProperties>
</file>