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1"/>
        <w:gridCol w:w="616"/>
        <w:gridCol w:w="3070"/>
        <w:gridCol w:w="1306"/>
        <w:gridCol w:w="8285"/>
      </w:tblGrid>
      <w:tr w:rsidR="00191A23" w:rsidRPr="0022554A" w:rsidTr="00BA5CAE">
        <w:tc>
          <w:tcPr>
            <w:tcW w:w="1951" w:type="dxa"/>
          </w:tcPr>
          <w:p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3070" w:type="dxa"/>
            <w:vAlign w:val="bottom"/>
          </w:tcPr>
          <w:p w:rsidR="00191A23" w:rsidRPr="0022554A" w:rsidRDefault="00191A23" w:rsidP="0022554A">
            <w:pPr>
              <w:pStyle w:val="TableHeader"/>
              <w:tabs>
                <w:tab w:val="left" w:pos="5400"/>
              </w:tabs>
              <w:jc w:val="center"/>
              <w:rPr>
                <w:bCs/>
                <w:sz w:val="20"/>
              </w:rPr>
            </w:pPr>
            <w:r w:rsidRPr="0022554A">
              <w:rPr>
                <w:bCs/>
                <w:sz w:val="20"/>
              </w:rPr>
              <w:t>Recommendation</w:t>
            </w:r>
          </w:p>
        </w:tc>
        <w:tc>
          <w:tcPr>
            <w:tcW w:w="1306" w:type="dxa"/>
          </w:tcPr>
          <w:p w:rsidR="00191A23" w:rsidRPr="0022554A" w:rsidRDefault="00201CA4" w:rsidP="00976EE1">
            <w:pPr>
              <w:pStyle w:val="TableHeader"/>
              <w:tabs>
                <w:tab w:val="left" w:pos="5400"/>
              </w:tabs>
              <w:jc w:val="center"/>
              <w:rPr>
                <w:bCs/>
                <w:sz w:val="20"/>
              </w:rPr>
            </w:pPr>
            <w:r>
              <w:rPr>
                <w:bCs/>
                <w:sz w:val="20"/>
              </w:rPr>
              <w:t>Paragraph</w:t>
            </w:r>
            <w:r w:rsidR="00191A23">
              <w:rPr>
                <w:bCs/>
                <w:sz w:val="20"/>
              </w:rPr>
              <w:br/>
              <w:t>No.</w:t>
            </w:r>
            <w:r>
              <w:rPr>
                <w:bCs/>
                <w:sz w:val="20"/>
              </w:rPr>
              <w:t xml:space="preserve"> per Section</w:t>
            </w:r>
          </w:p>
        </w:tc>
        <w:tc>
          <w:tcPr>
            <w:tcW w:w="8285" w:type="dxa"/>
          </w:tcPr>
          <w:p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rsidTr="00BA5CAE">
        <w:tc>
          <w:tcPr>
            <w:tcW w:w="1951" w:type="dxa"/>
            <w:vMerge w:val="restart"/>
          </w:tcPr>
          <w:p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rsidR="00191A23" w:rsidRPr="0022554A" w:rsidRDefault="00191A23" w:rsidP="0022554A">
            <w:pPr>
              <w:tabs>
                <w:tab w:val="left" w:pos="5400"/>
              </w:tabs>
              <w:jc w:val="center"/>
              <w:rPr>
                <w:sz w:val="20"/>
              </w:rPr>
            </w:pPr>
            <w:r w:rsidRPr="0022554A">
              <w:rPr>
                <w:sz w:val="20"/>
              </w:rPr>
              <w:t>1</w:t>
            </w:r>
          </w:p>
        </w:tc>
        <w:tc>
          <w:tcPr>
            <w:tcW w:w="3070" w:type="dxa"/>
          </w:tcPr>
          <w:p w:rsidR="00191A23"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p w:rsidR="00BA5CAE" w:rsidRPr="00BD3A97" w:rsidRDefault="00BA5CAE" w:rsidP="00BA5CAE">
            <w:pPr>
              <w:pStyle w:val="Heading2"/>
              <w:numPr>
                <w:ilvl w:val="0"/>
                <w:numId w:val="0"/>
              </w:numPr>
              <w:ind w:left="720"/>
              <w:rPr>
                <w:b w:val="0"/>
              </w:rPr>
            </w:pPr>
          </w:p>
          <w:p w:rsidR="00BA5CAE" w:rsidRPr="0022554A" w:rsidRDefault="00BA5CAE" w:rsidP="0022554A">
            <w:pPr>
              <w:tabs>
                <w:tab w:val="left" w:pos="5400"/>
              </w:tabs>
              <w:rPr>
                <w:sz w:val="20"/>
              </w:rPr>
            </w:pPr>
          </w:p>
        </w:tc>
        <w:tc>
          <w:tcPr>
            <w:tcW w:w="1306" w:type="dxa"/>
          </w:tcPr>
          <w:p w:rsidR="00BA5CAE" w:rsidRDefault="00201CA4" w:rsidP="00BA5CAE">
            <w:pPr>
              <w:tabs>
                <w:tab w:val="left" w:pos="5400"/>
              </w:tabs>
              <w:jc w:val="center"/>
              <w:rPr>
                <w:sz w:val="20"/>
              </w:rPr>
            </w:pPr>
            <w:r>
              <w:rPr>
                <w:sz w:val="20"/>
              </w:rPr>
              <w:t>Title Page</w:t>
            </w:r>
          </w:p>
          <w:p w:rsidR="005A706E" w:rsidRDefault="005A706E" w:rsidP="00BA5CAE">
            <w:pPr>
              <w:tabs>
                <w:tab w:val="left" w:pos="5400"/>
              </w:tabs>
              <w:jc w:val="center"/>
              <w:rPr>
                <w:sz w:val="20"/>
              </w:rPr>
            </w:pPr>
            <w:r>
              <w:rPr>
                <w:sz w:val="20"/>
              </w:rPr>
              <w:t>Paragraph 1</w:t>
            </w:r>
          </w:p>
          <w:p w:rsidR="00BA5CAE" w:rsidRDefault="00BA5CAE" w:rsidP="0022554A">
            <w:pPr>
              <w:tabs>
                <w:tab w:val="left" w:pos="5400"/>
              </w:tabs>
              <w:rPr>
                <w:sz w:val="20"/>
              </w:rPr>
            </w:pPr>
          </w:p>
          <w:p w:rsidR="00BA5CAE" w:rsidRPr="0022554A" w:rsidRDefault="00BA5CAE" w:rsidP="0022554A">
            <w:pPr>
              <w:tabs>
                <w:tab w:val="left" w:pos="5400"/>
              </w:tabs>
              <w:rPr>
                <w:sz w:val="20"/>
              </w:rPr>
            </w:pPr>
          </w:p>
        </w:tc>
        <w:tc>
          <w:tcPr>
            <w:tcW w:w="8285" w:type="dxa"/>
          </w:tcPr>
          <w:p w:rsidR="00BA5CAE" w:rsidRPr="00E33D4E" w:rsidRDefault="00BA5CAE" w:rsidP="00E33D4E">
            <w:pPr>
              <w:tabs>
                <w:tab w:val="left" w:pos="5400"/>
              </w:tabs>
            </w:pPr>
            <w:r w:rsidRPr="00BD3A97">
              <w:t>Transmission of Multidrug-Resistant and Drug Susceptible Tuberculosis Within Households: A Prospective Cohort Study</w:t>
            </w:r>
          </w:p>
          <w:p w:rsidR="00191A23" w:rsidRPr="00E33D4E" w:rsidRDefault="00191A23" w:rsidP="00E33D4E">
            <w:pPr>
              <w:tabs>
                <w:tab w:val="left" w:pos="5400"/>
              </w:tabs>
            </w:pPr>
          </w:p>
        </w:tc>
      </w:tr>
      <w:tr w:rsidR="00191A23" w:rsidRPr="0022554A" w:rsidTr="00BA5CAE">
        <w:tc>
          <w:tcPr>
            <w:tcW w:w="1951" w:type="dxa"/>
            <w:vMerge/>
          </w:tcPr>
          <w:p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rsidR="00191A23" w:rsidRPr="0022554A" w:rsidRDefault="00191A23" w:rsidP="0022554A">
            <w:pPr>
              <w:tabs>
                <w:tab w:val="left" w:pos="5400"/>
              </w:tabs>
              <w:jc w:val="center"/>
              <w:rPr>
                <w:sz w:val="20"/>
              </w:rPr>
            </w:pPr>
          </w:p>
        </w:tc>
        <w:tc>
          <w:tcPr>
            <w:tcW w:w="3070"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306" w:type="dxa"/>
          </w:tcPr>
          <w:p w:rsidR="00191A23" w:rsidRPr="0022554A" w:rsidRDefault="00201CA4" w:rsidP="0022554A">
            <w:pPr>
              <w:tabs>
                <w:tab w:val="left" w:pos="5400"/>
              </w:tabs>
              <w:rPr>
                <w:sz w:val="20"/>
              </w:rPr>
            </w:pPr>
            <w:r>
              <w:rPr>
                <w:sz w:val="20"/>
              </w:rPr>
              <w:t>Title Page</w:t>
            </w:r>
            <w:r w:rsidR="005A706E">
              <w:rPr>
                <w:sz w:val="20"/>
              </w:rPr>
              <w:t xml:space="preserve"> Paragraph  </w:t>
            </w:r>
            <w:r w:rsidR="001F2F5A">
              <w:rPr>
                <w:sz w:val="20"/>
              </w:rPr>
              <w:t>7</w:t>
            </w:r>
          </w:p>
        </w:tc>
        <w:tc>
          <w:tcPr>
            <w:tcW w:w="8285" w:type="dxa"/>
          </w:tcPr>
          <w:p w:rsidR="00201CA4" w:rsidRPr="00BD3A97" w:rsidRDefault="00201CA4" w:rsidP="00201CA4">
            <w:r w:rsidRPr="00BD3A97">
              <w:t xml:space="preserve">Background </w:t>
            </w:r>
          </w:p>
          <w:p w:rsidR="00201CA4" w:rsidRDefault="00201CA4" w:rsidP="00201CA4"/>
          <w:p w:rsidR="00201CA4" w:rsidRDefault="00201CA4" w:rsidP="00201CA4">
            <w:r w:rsidRPr="00BD3A97">
              <w:t>The 'fitness' of an infectious pathogen is defined as the ability of the pathogen to survive, reproduce, be transmitted and cause disease.</w:t>
            </w:r>
            <w:r>
              <w:t xml:space="preserve"> The fitness of multidrug-resistant tuberculosis</w:t>
            </w:r>
            <w:r w:rsidRPr="00BD3A97">
              <w:t xml:space="preserve"> </w:t>
            </w:r>
            <w:r>
              <w:t xml:space="preserve">(MDRTB) relative </w:t>
            </w:r>
            <w:r w:rsidRPr="00BD3A97">
              <w:t>to drug</w:t>
            </w:r>
            <w:r>
              <w:t xml:space="preserve"> </w:t>
            </w:r>
            <w:r w:rsidRPr="00BD3A97">
              <w:t xml:space="preserve">susceptible tuberculosis is </w:t>
            </w:r>
            <w:r>
              <w:t xml:space="preserve">cited as </w:t>
            </w:r>
            <w:r w:rsidRPr="00BD3A97">
              <w:t xml:space="preserve">one of the most important determinants of </w:t>
            </w:r>
            <w:r>
              <w:t>MDRTB</w:t>
            </w:r>
            <w:r w:rsidRPr="00BD3A97">
              <w:t xml:space="preserve"> spread</w:t>
            </w:r>
            <w:r>
              <w:t xml:space="preserve"> and epidemic size</w:t>
            </w:r>
            <w:r w:rsidRPr="00BD3A97">
              <w:t>.</w:t>
            </w:r>
            <w:r>
              <w:t xml:space="preserve"> To</w:t>
            </w:r>
            <w:r w:rsidRPr="00BD3A97">
              <w:t xml:space="preserve"> estimate the relative fitness</w:t>
            </w:r>
            <w:r>
              <w:t xml:space="preserve"> of drug resistant tuberculosis cases, we compared the incidence of tuberculosis disease among the household contacts of MDRTB index patients to that among the contacts of drug susceptible index patients.</w:t>
            </w:r>
          </w:p>
          <w:p w:rsidR="00201CA4" w:rsidRDefault="00201CA4" w:rsidP="00201CA4"/>
          <w:p w:rsidR="00201CA4" w:rsidRPr="00BD3A97" w:rsidRDefault="00201CA4" w:rsidP="00201CA4">
            <w:r w:rsidRPr="00BD3A97">
              <w:t>Methods</w:t>
            </w:r>
            <w:r>
              <w:t xml:space="preserve"> and Findings</w:t>
            </w:r>
          </w:p>
          <w:p w:rsidR="00201CA4" w:rsidRDefault="00201CA4" w:rsidP="00201CA4"/>
          <w:p w:rsidR="00201CA4" w:rsidRPr="00BD3A97" w:rsidRDefault="00201CA4" w:rsidP="00201CA4">
            <w:r>
              <w:t>This</w:t>
            </w:r>
            <w:r w:rsidRPr="00BD3A97">
              <w:t xml:space="preserve"> 3-year </w:t>
            </w:r>
            <w:r>
              <w:t xml:space="preserve">(2010-2013) </w:t>
            </w:r>
            <w:r w:rsidRPr="00BD3A97">
              <w:t xml:space="preserve">prospective cohort </w:t>
            </w:r>
            <w:r>
              <w:t xml:space="preserve">household follow-up </w:t>
            </w:r>
            <w:r w:rsidRPr="00BD3A97">
              <w:t xml:space="preserve">study </w:t>
            </w:r>
            <w:r>
              <w:t>in South Lima and Callao, Peru, measured</w:t>
            </w:r>
            <w:r w:rsidRPr="00BD3A97">
              <w:t xml:space="preserve"> the incidence of tuberculosis disease among 1055 household contacts of 213 multidrug-resistant tuberculosis (MDRTB) index cases and 2362 household contacts of 487 drug</w:t>
            </w:r>
            <w:r>
              <w:t xml:space="preserve"> </w:t>
            </w:r>
            <w:r w:rsidRPr="00BD3A97">
              <w:t xml:space="preserve">susceptible index cases.  </w:t>
            </w:r>
          </w:p>
          <w:p w:rsidR="00201CA4" w:rsidRDefault="00201CA4" w:rsidP="00201CA4"/>
          <w:p w:rsidR="00201CA4" w:rsidRDefault="00201CA4" w:rsidP="00201CA4">
            <w:r>
              <w:t>A total of 35/1055 (3</w:t>
            </w:r>
            <w:r>
              <w:rPr>
                <w:rFonts w:ascii="Calibri" w:hAnsi="Calibri"/>
              </w:rPr>
              <w:t>·</w:t>
            </w:r>
            <w:r>
              <w:t>3%) household contacts of 213 MDRTB index cases developed tuberculosis disease, while 114/2362 (4</w:t>
            </w:r>
            <w:r>
              <w:rPr>
                <w:rFonts w:ascii="Calibri" w:hAnsi="Calibri"/>
              </w:rPr>
              <w:t>·</w:t>
            </w:r>
            <w:r>
              <w:t xml:space="preserve">8%) household contacts of 487 drug susceptible index patients developed tuberculosis disease. The total follow-up time for drug susceptible tuberculosis contacts was 2620 years while the total </w:t>
            </w:r>
            <w:r>
              <w:lastRenderedPageBreak/>
              <w:t>follow-up time for multidrug-resistant tuberculosis contacts was 1425 years. Using multivariate Cox regression to adjust for confounding variables including contact HIV status, contact age, socio-economic status and index sputum smear grade, the Hazard Ratio (HR) for tuberculosis disease among MDRTB household contacts was found to be half that for drug susceptible contacts (HR 0</w:t>
            </w:r>
            <w:r>
              <w:rPr>
                <w:rFonts w:ascii="Calibri" w:hAnsi="Calibri"/>
              </w:rPr>
              <w:t>·</w:t>
            </w:r>
            <w:r>
              <w:t>56, 95% CI 0</w:t>
            </w:r>
            <w:r>
              <w:rPr>
                <w:rFonts w:ascii="Calibri" w:hAnsi="Calibri"/>
              </w:rPr>
              <w:t>·</w:t>
            </w:r>
            <w:r>
              <w:t>3</w:t>
            </w:r>
            <w:r w:rsidRPr="00144765">
              <w:t>4</w:t>
            </w:r>
            <w:r>
              <w:t>-0</w:t>
            </w:r>
            <w:r>
              <w:rPr>
                <w:rFonts w:ascii="Calibri" w:hAnsi="Calibri"/>
              </w:rPr>
              <w:t>·</w:t>
            </w:r>
            <w:r>
              <w:t>90, p=0</w:t>
            </w:r>
            <w:r>
              <w:rPr>
                <w:rFonts w:ascii="Calibri" w:hAnsi="Calibri"/>
              </w:rPr>
              <w:t>·</w:t>
            </w:r>
            <w:r>
              <w:t>0</w:t>
            </w:r>
            <w:r w:rsidRPr="00144765">
              <w:t>1</w:t>
            </w:r>
            <w:r>
              <w:t>7). The inference of transmission in this study was limited by the lack of genotyping data for household contacts. Only capturing incident household disease may also limit the extrapolation of these findings to the community setting.</w:t>
            </w:r>
          </w:p>
          <w:p w:rsidR="00201CA4" w:rsidRDefault="00201CA4" w:rsidP="00201CA4"/>
          <w:p w:rsidR="00201CA4" w:rsidRPr="00BD3A97" w:rsidRDefault="00201CA4" w:rsidP="00201CA4">
            <w:r>
              <w:t>Conclusions</w:t>
            </w:r>
          </w:p>
          <w:p w:rsidR="00201CA4" w:rsidRDefault="00201CA4" w:rsidP="00201CA4"/>
          <w:p w:rsidR="00191A23" w:rsidRPr="00E33D4E" w:rsidRDefault="00201CA4" w:rsidP="00201CA4">
            <w:r>
              <w:t>The</w:t>
            </w:r>
            <w:r w:rsidRPr="00BD3A97">
              <w:t xml:space="preserve"> low relative fitness of </w:t>
            </w:r>
            <w:r>
              <w:t>MDRTB</w:t>
            </w:r>
            <w:r w:rsidRPr="00BD3A97">
              <w:t xml:space="preserve"> </w:t>
            </w:r>
            <w:r>
              <w:t xml:space="preserve">estimated by this study </w:t>
            </w:r>
            <w:r w:rsidRPr="00BD3A97">
              <w:t xml:space="preserve">improves the chances of </w:t>
            </w:r>
            <w:proofErr w:type="gramStart"/>
            <w:r w:rsidRPr="00BD3A97">
              <w:t>cont</w:t>
            </w:r>
            <w:r>
              <w:t xml:space="preserve">rolling </w:t>
            </w:r>
            <w:r w:rsidRPr="00BD3A97">
              <w:t xml:space="preserve"> drug</w:t>
            </w:r>
            <w:proofErr w:type="gramEnd"/>
            <w:r w:rsidRPr="00BD3A97">
              <w:t xml:space="preserve"> resistant tuberculosis</w:t>
            </w:r>
            <w:r>
              <w:t>. However, fitter multidrug-resistant strains that emerge over time may make this increasingly difficult.</w:t>
            </w:r>
          </w:p>
        </w:tc>
      </w:tr>
      <w:tr w:rsidR="00191A23" w:rsidRPr="0022554A" w:rsidTr="00BA5CAE">
        <w:tc>
          <w:tcPr>
            <w:tcW w:w="6943" w:type="dxa"/>
            <w:gridSpan w:val="4"/>
          </w:tcPr>
          <w:p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lastRenderedPageBreak/>
              <w:t>Introduction</w:t>
            </w:r>
          </w:p>
        </w:tc>
        <w:bookmarkEnd w:id="13"/>
        <w:bookmarkEnd w:id="14"/>
        <w:tc>
          <w:tcPr>
            <w:tcW w:w="8285" w:type="dxa"/>
          </w:tcPr>
          <w:p w:rsidR="00191A23" w:rsidRPr="00E33D4E" w:rsidRDefault="00191A23" w:rsidP="00E33D4E">
            <w:pPr>
              <w:tabs>
                <w:tab w:val="left" w:pos="5400"/>
              </w:tabs>
            </w:pPr>
          </w:p>
        </w:tc>
      </w:tr>
      <w:tr w:rsidR="00191A23" w:rsidRPr="0022554A" w:rsidTr="00BA5CAE">
        <w:tc>
          <w:tcPr>
            <w:tcW w:w="1951" w:type="dxa"/>
          </w:tcPr>
          <w:p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rsidR="00191A23" w:rsidRPr="0022554A" w:rsidRDefault="00191A23" w:rsidP="0022554A">
            <w:pPr>
              <w:tabs>
                <w:tab w:val="left" w:pos="5400"/>
              </w:tabs>
              <w:jc w:val="center"/>
              <w:rPr>
                <w:sz w:val="20"/>
              </w:rPr>
            </w:pPr>
            <w:r w:rsidRPr="0022554A">
              <w:rPr>
                <w:sz w:val="20"/>
              </w:rPr>
              <w:t>2</w:t>
            </w:r>
          </w:p>
        </w:tc>
        <w:tc>
          <w:tcPr>
            <w:tcW w:w="3070" w:type="dxa"/>
          </w:tcPr>
          <w:p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306" w:type="dxa"/>
          </w:tcPr>
          <w:p w:rsidR="00191A23" w:rsidRPr="0022554A" w:rsidRDefault="00201CA4" w:rsidP="0022554A">
            <w:pPr>
              <w:tabs>
                <w:tab w:val="left" w:pos="5400"/>
              </w:tabs>
              <w:rPr>
                <w:sz w:val="20"/>
              </w:rPr>
            </w:pPr>
            <w:r>
              <w:rPr>
                <w:sz w:val="20"/>
              </w:rPr>
              <w:t>Introduction Paragraph  2</w:t>
            </w:r>
          </w:p>
        </w:tc>
        <w:tc>
          <w:tcPr>
            <w:tcW w:w="8285" w:type="dxa"/>
          </w:tcPr>
          <w:p w:rsidR="00530514" w:rsidRPr="00BD3A97" w:rsidRDefault="00530514" w:rsidP="00530514">
            <w:r w:rsidRPr="00BD3A97">
              <w:rPr>
                <w:noProof/>
              </w:rPr>
              <w:t>Studies</w:t>
            </w:r>
            <w:r w:rsidRPr="00BD3A97">
              <w:t xml:space="preserve"> by </w:t>
            </w:r>
            <w:proofErr w:type="spellStart"/>
            <w:r w:rsidRPr="00BD3A97">
              <w:t>Mitchison</w:t>
            </w:r>
            <w:proofErr w:type="spellEnd"/>
            <w:r>
              <w:t xml:space="preserve"> </w:t>
            </w:r>
            <w:r w:rsidR="0006417F" w:rsidRPr="00BD3A97">
              <w:fldChar w:fldCharType="begin"/>
            </w:r>
            <w:r>
              <w:instrText xml:space="preserve"> ADDIN ZOTERO_ITEM CSL_CITATION {"citationID":"9v2r4817u","properties":{"formattedCitation":"[6]","plainCitation":"[6]"},"citationItems":[{"id":189,"uris":["http://zotero.org/users/local/Zvy1osKI/items/KRZ3D3BU"],"uri":["http://zotero.org/users/local/Zvy1osKI/items/KRZ3D3BU"],"itemData":{"id":189,"type":"article-journal","title":"Tubercle bacilli resistant to isoniazid; virulence and response to treatment with isoniazid in guinea-pigs","container-title":"Br Med J","page":"128-30","volume":"1","archive_location":"13106496","note":"4854","shortTitle":"Tubercle bacilli resistant to isoniazid; virulence and response to treatment with isoniazid in guinea-pigs","author":[{"family":"Mitchison","given":"D. A."}],"issued":{"date-parts":[["1954",1,16]]}}}],"schema":"https://github.com/citation-style-language/schema/raw/master/csl-citation.json"} </w:instrText>
            </w:r>
            <w:r w:rsidR="0006417F" w:rsidRPr="00BD3A97">
              <w:fldChar w:fldCharType="separate"/>
            </w:r>
            <w:r w:rsidRPr="00312EDB">
              <w:rPr>
                <w:rFonts w:ascii="Calibri" w:hAnsi="Calibri"/>
              </w:rPr>
              <w:t>[6]</w:t>
            </w:r>
            <w:r w:rsidR="0006417F" w:rsidRPr="00BD3A97">
              <w:fldChar w:fldCharType="end"/>
            </w:r>
            <w:r w:rsidRPr="00BD3A97">
              <w:t xml:space="preserve"> and </w:t>
            </w:r>
            <w:proofErr w:type="spellStart"/>
            <w:r w:rsidRPr="00BD3A97">
              <w:t>Middlebrook</w:t>
            </w:r>
            <w:proofErr w:type="spellEnd"/>
            <w:r>
              <w:t xml:space="preserve"> </w:t>
            </w:r>
            <w:r w:rsidR="0006417F" w:rsidRPr="00BD3A97">
              <w:fldChar w:fldCharType="begin"/>
            </w:r>
            <w:r>
              <w:instrText xml:space="preserve"> ADDIN ZOTERO_ITEM CSL_CITATION {"citationID":"24g4492opm","properties":{"formattedCitation":"[7]","plainCitation":"[7]"},"citationItems":[{"id":183,"uris":["http://zotero.org/users/local/Zvy1osKI/items/JC7U3CHC"],"uri":["http://zotero.org/users/local/Zvy1osKI/items/JC7U3CHC"],"itemData":{"id":183,"type":"article-journal","title":"Some observations on the pathogenicity of isoniazid-resistant variants of tubercle bacilli","container-title":"Science","page":"297-9","volume":"118","archive_location":"13089681","note":"3063","shortTitle":"Some observations on the pathogenicity of isoniazid-resistant variants of tubercle bacilli","author":[{"family":"Middlebrook","given":"G."},{"family":"Cohn","given":"M. L."}],"issued":{"date-parts":[["1953",9,11]]}}}],"schema":"https://github.com/citation-style-language/schema/raw/master/csl-citation.json"} </w:instrText>
            </w:r>
            <w:r w:rsidR="0006417F" w:rsidRPr="00BD3A97">
              <w:fldChar w:fldCharType="separate"/>
            </w:r>
            <w:r w:rsidRPr="00312EDB">
              <w:rPr>
                <w:rFonts w:ascii="Calibri" w:hAnsi="Calibri"/>
              </w:rPr>
              <w:t>[7]</w:t>
            </w:r>
            <w:r w:rsidR="0006417F" w:rsidRPr="00BD3A97">
              <w:fldChar w:fldCharType="end"/>
            </w:r>
            <w:r w:rsidRPr="00BD3A97">
              <w:t xml:space="preserve"> established in animal models that some drug resistant strains of tuberculosis were less pathogenic.</w:t>
            </w:r>
            <w:r w:rsidRPr="001E6016">
              <w:rPr>
                <w:szCs w:val="24"/>
              </w:rPr>
              <w:t xml:space="preserve"> </w:t>
            </w:r>
            <w:r w:rsidRPr="001E6016">
              <w:rPr>
                <w:rStyle w:val="Emphasis"/>
                <w:rFonts w:asciiTheme="minorHAnsi" w:hAnsiTheme="minorHAnsi"/>
                <w:szCs w:val="24"/>
              </w:rPr>
              <w:t>Population level molecular epidemiological studies support this finding. These studies estimate tuberculosis fitness by measuring the proportion of strains that are  genetically clustered and attributable to recent transmission</w:t>
            </w:r>
            <w:r>
              <w:t xml:space="preserve"> </w:t>
            </w:r>
            <w:r w:rsidR="0006417F">
              <w:fldChar w:fldCharType="begin"/>
            </w:r>
            <w:r>
              <w:instrText xml:space="preserve"> ADDIN ZOTERO_ITEM CSL_CITATION {"citationID":"2lida8q691","properties":{"formattedCitation":"{\\rtf [8\\uc0\\u8211{}10]}","plainCitation":"[8–10]"},"citationItems":[{"id":19,"uris":["http://zotero.org/users/local/5N2pAhfg/items/SFPVCA59"],"uri":["http://zotero.org/users/local/5N2pAhfg/items/SFPVCA59"],"itemData":{"id":19,"type":"article-journal","title":"Clinical consequences and transmissibility of drug-resistant tuberculosis in southern Mexico","container-title":"Archives of Internal Medicine","page":"630-636","volume":"160","issue":"5","source":"NCBI PubMed","abstract":"BACKGROUND: Consequences of drug-resistant tuberculosis (TB) in developing countries using directly observed treatment, short-course (DOTS), are not well defined.\nOBJECTIVE: To determine the impact of drug resistance on clinical outcome and transmission of TB under programmatic conditions.\nPATIENTS AND METHODS: A prospective cohort and molecular epidemiologic study was conducted in southern Mexico. Between March 1995 and February 1998 all patients with persistent cough whose sputa had acid-fast bacilli (AFB) underwent clinical and mycobacteriologic evaluation (species identification, drug susceptibility testing, and IS6110-based genotyping). Treatment was provided in accordance with Mexico's National Tuberculosis Program. Clinical and microbiologic outcomes and molecular epidemiologically defined transmission were measured.\nRESULTS: Mycobacterium tuberculosis was isolated from 238 of the 284 AFB smear-positive persons. The overall rate of resistance was 28.4% (new, 20.7%; retreated, 54.7%), and 10.8% (new, 3.3%; retreated, 35.8%) had multi-drug-resistant TB (ie, resistance to isoniazid and rifampin). After treatment, 75% (new, 81.0%; retreated, 52.8%) were cured, 8% (new, 7.8%; retreated, 7.5%) abandoned therapy, 9% (new, 3.9%; retreated, 28.3%) had treatment failure, and 4% (new, 3.3%; retreated, 7.5%) died. Another 2% of patients relapsed, and 9% died during a median of 24.4 months of follow-up. Drug-resistance was a strong independent risk factor for treatment failure. Being infected with multi-drug-resistant TB was the only factor associated with a decreased likelihood of being in a restriction fragment length polymorphism cluster.\nCONCLUSIONS: Despite the use of DOTS, patients with drug-resistant TB had a dramatically increased probability of treatment failure and death. Although multi-drug-resistant TB may have a decreased propensity to spread and cause disease, it has a profoundly negative impact on TB control.","ISSN":"0003-9926","note":"PMID: 10724048","journalAbbreviation":"Arch. Intern. Med.","language":"eng","author":[{"family":"García-García","given":"M. L."},{"family":"Ponce de León","given":"A."},{"family":"Jiménez-Corona","given":"M. E."},{"family":"Jiménez-Corona","given":"A."},{"family":"Palacios-Martínez","given":"M."},{"family":"Balandrano-Campos","given":"S."},{"family":"Ferreyra-Reyes","given":"L."},{"family":"Juárez-Sandino","given":"L."},{"family":"Sifuentes-Osornio","given":"J."},{"family":"Olivera-Díaz","given":"H."},{"family":"Valdespino-Gómez","given":"J. L."},{"family":"Small","given":"P. M."}],"issued":{"date-parts":[["2000",3,13]]},"PMID":"10724048"}},{"id":21,"uris":["http://zotero.org/users/local/5N2pAhfg/items/WGZEHTZI"],"uri":["http://zotero.org/users/local/5N2pAhfg/items/WGZEHTZI"],"itemData":{"id":21,"type":"article-journal","title":"Molecular epidemiology of tuberculosis in the Netherlands: a nationwide study from 1993 through 1997","container-title":"The Journal of Infectious Diseases","page":"726-736","volume":"180","issue":"3","source":"NCBI PubMed","abstract":"To disclose risk factors for active tuberculosis transmission in the Netherlands, restriction fragment length polymorphism (RFLP) patterns of 78% of the Mycobacterium tuberculosis isolates, from the period 1993-1997, were analyzed. Of the respective 4266 cases, 46% were found in clusters of isolates with identical RFLPs, and 35% were attributed to active transmission. The clustering percentage increased strongly with the number of isolates; taking this into account, fewer cases were clustered than has been reported in other studies. Contact investigations in the five largest clusters of 23-47 patients suggested epidemiological linkage between cases. Of patients identified through contact tracing, 91% were clustered. Demographic risk factors for active transmission of tuberculosis included male sex, urban residence, Dutch and Surinamese nationality, and long-term residence in the Netherlands. Human immunodeficiency virus infection was not an independent risk factor for active transmission. Isoniazid-resistant strains were relatively less frequently clustered, suggesting that these generated fewer secondary cases.","DOI":"10.1086/314930","ISSN":"0022-1899","note":"PMID: 10438361","shortTitle":"Molecular epidemiology of tuberculosis in the Netherlands","journalAbbreviation":"J. Infect. Dis.","language":"eng","author":[{"family":"van Soolingen","given":"D."},{"family":"Borgdorff","given":"M. W."},{"family":"de Haas","given":"P. E."},{"family":"Sebek","given":"M. M."},{"family":"Veen","given":"J."},{"family":"Dessens","given":"M."},{"family":"Kremer","given":"K."},{"family":"van Embden","given":"J. D."}],"issued":{"date-parts":[["1999",9]]},"PMID":"10438361"}},{"id":23,"uris":["http://zotero.org/users/local/5N2pAhfg/items/QU2QMMDJ"],"uri":["http://zotero.org/users/local/5N2pAhfg/items/QU2QMMDJ"],"itemData":{"id":23,"type":"article-journal","title":"Effect of drug resistance on the generation of secondary cases of tuberculosis","container-title":"The Journal of Infectious Diseases","page":"1878-1884","volume":"188","issue":"12","source":"NCBI PubMed","abstract":"BACKGROUND: The results of animal studies suggest that isoniazid-resistant strains of Mycobacterium tuberculosis are less pathogenic than isoniazid-susceptible strains. Here, we assess the relative pathogenicity of drug-resistant and drug-susceptible strains, in a human population.\nMETHODS: We linked IS6110 genotype patterns of M. tuberculosis strains with drug-susceptibility test results and epidemiologic information for 85% of culture-positive incident cases of tuberculosis (TB) in San Francisco during 1991-1999. We assumed that drug-susceptible and drug-resistant strains were transmitted to secondary case patients if the drug-resistance and genotype patterns were identical. We calculated the number of secondary cases for each drug-resistance pattern and determined the relative secondary-case rate ratio (SR) of drug-resistant TB to drug-susceptible TB.\nRESULTS: There were 1800 patients with culture-positive TB, drug-susceptibility test results, and genotyping results. The overall SR of drug-resistant to drug-susceptible TB cases was 0.51 (95% confidence interval [CI], 0.37-0.69). The SR was 0.29 (95% CI, 0.15-0.57) for isoniazid-resistant strains, 0.10 (95% CI, 0.02-0.42) for strains resistant to both isoniazid and streptomycin, and 0.88 (95% CI, 0.53-1.47) for streptomycin-resistant strains. There were no secondary cases caused by multidrug-resistant (MDR) TB. The SR for rifampin-resistant cases was 2.33 (95% CI, 1.04-5.25). Seventy-eight percent (7/9) of the patients with rifampin-resistant secondary cases of TB were seropositive for human immunodeficiency virus.\nCONCLUSION: In the context of an effective TB program in San Francisco, strains that were resistant to isoniazid either alone or in combination with other drugs were less likely to result in secondary cases than were drug-susceptible strains. In this setting, isoniazid-resistant and MDR TB cases were not likely to produce new, incident drug-resistant TB cases.","DOI":"10.1086/379895","ISSN":"0022-1899","note":"PMID: 14673768","journalAbbreviation":"J. Infect. Dis.","language":"eng","author":[{"family":"Burgos","given":"Marcos"},{"family":"DeRiemer","given":"Kathryn"},{"family":"Small","given":"Peter M."},{"family":"Hopewell","given":"Philip C."},{"family":"Daley","given":"Charles L."}],"issued":{"date-parts":[["2003",12,15]]},"PMID":"14673768"}}],"schema":"https://github.com/citation-style-language/schema/raw/master/csl-citation.json"} </w:instrText>
            </w:r>
            <w:r w:rsidR="0006417F">
              <w:fldChar w:fldCharType="separate"/>
            </w:r>
            <w:r w:rsidRPr="00312EDB">
              <w:rPr>
                <w:rFonts w:ascii="Calibri" w:hAnsi="Calibri"/>
              </w:rPr>
              <w:t>[8–10]</w:t>
            </w:r>
            <w:r w:rsidR="0006417F">
              <w:fldChar w:fldCharType="end"/>
            </w:r>
            <w:r>
              <w:t xml:space="preserve">. </w:t>
            </w:r>
            <w:r w:rsidRPr="00BD3A97">
              <w:t xml:space="preserve">More recently laboratory competitive fitness assays have demonstrated a variable fitness cost of drug resistant </w:t>
            </w:r>
            <w:r w:rsidRPr="00BD3A97">
              <w:rPr>
                <w:i/>
              </w:rPr>
              <w:t xml:space="preserve">M. tuberculosis </w:t>
            </w:r>
            <w:r w:rsidRPr="00BD3A97">
              <w:t>bacilli with most strains demonstrating a fitness cost and some with superior fitness</w:t>
            </w:r>
            <w:r>
              <w:t xml:space="preserve"> </w:t>
            </w:r>
            <w:r w:rsidR="0006417F" w:rsidRPr="00BD3A97">
              <w:rPr>
                <w:noProof/>
              </w:rPr>
              <w:fldChar w:fldCharType="begin"/>
            </w:r>
            <w:r>
              <w:rPr>
                <w:noProof/>
              </w:rPr>
              <w:instrText xml:space="preserve"> ADDIN ZOTERO_ITEM CSL_CITATION {"citationID":"qluilhiff","properties":{"formattedCitation":"{\\rtf [11\\uc0\\u8211{}13]}","plainCitation":"[11–13]"},"citationItems":[{"id":119,"uris":["http://zotero.org/users/local/Zvy1osKI/items/EIBZ7KIG"],"uri":["http://zotero.org/users/local/Zvy1osKI/items/EIBZ7KIG"],"itemData":{"id":119,"type":"article-journal","title":"Fitness cost of drug resistance in Mycobacterium tuberculosis","container-title":"Clin Microbiol Infect","page":"66-8","volume":"15 Suppl 1","archive_location":"19220360","abstract":"Multidrug-resistant (MDR)--and extensively drug-resistant (XDR)--forms of tuberculosis are growing public health problems. Mathematical models predict that the future of the MDR and XDR tuberculosis epidemics depends in part on the competitive fitness of drug-resistant strains. Here, recent experimental and molecular epidemiological data that illustrate how heterogeneity among drug-resistant strains of Mycobacterium tuberculosis can influence the relative fitness and transmission of this pathogen are reviewed.","shortTitle":"Fitness cost of drug resistance in Mycobacterium tuberculosis","author":[{"family":"Gagneux","given":"S."}],"issued":{"date-parts":[["2009",1]],"season":"undefined"}}},{"id":125,"uris":["http://zotero.org/users/local/Zvy1osKI/items/W9PJ2764"],"uri":["http://zotero.org/users/local/Zvy1osKI/items/W9PJ2764"],"itemData":{"id":125,"type":"article-journal","title":"The competitive cost of antibiotic resistance in Mycobacterium tuberculosis","container-title":"Science","page":"1944-6","volume":"312","archive_location":"16809538","abstract":"Mathematical models predict that the future of the multidrug-resistant tuberculosis epidemic will depend on the fitness cost of drug resistance. We show that in laboratory-derived mutants of Mycobacterium tuberculosis, rifampin resistance is universally associated with a competitive fitness cost and that this cost is determined by the specific resistance mutation and strain genetic background. In contrast, we demonstrate that prolonged patient treatment can result in multidrug-resistant strains with no fitness defect and that strains with low- or no-cost resistance mutations are also the most frequent among clinical isolates.","note":"5782","shortTitle":"The competitive cost of antibiotic resistance in Mycobacterium tuberculosis","author":[{"family":"Gagneux","given":"S."},{"family":"Long","given":"C. D."},{"family":"Small","given":"P. M."},{"family":"Van","given":"T."},{"family":"Schoolnik","given":"G. K."},{"family":"Bohannan","given":"B. J."}],"issued":{"date-parts":[["2006",6,30]]}}},{"id":363,"uris":["http://zotero.org/users/local/Zvy1osKI/items/X4852RTE"],"uri":["http://zotero.org/users/local/Zvy1osKI/items/X4852RTE"],"itemData":{"id":363,"type":"article-journal","title":"Comparison of fitness of two isolates of Mycobacterium tuberculosis, one of which had developed multi-drug resistance during the course of treatment","container-title":"The Journal of infection","page":"184-187","volume":"41","issue":"2","source":"NCBI PubMed","abstract":"OBJECTIVES: We report the cases of two patients, brother and sister, both with pulmonary tuberculosis. Both patients complied poorly with treatment. One developed multi-drug resistant disease, whilst the other did not. We aimed to show that the two infecting strains were the same, and then to compare the fitness of the resistant strain to that of the sensitive strain.\nMETHODS: The isolates were typed by RFLP. The fitness of the multi-drug resistant tuberculosis strain was determined by calculating the ratio of generation produced by the drug-resistant and a drug-susceptible strain in a mixed culture. The number of bacteria present in this broth culture was estimated using the Miles and Misra technique. The number of drug-resistant bacteria present was determined by inoculating aliquots of broth onto Middlebrook 7H10 agar with 5mg/l rifampicin.\nRESULTS: The infecting strain of Mycobacterium tuberculosis was shown to be the same on RFLP typing in both cases. It was found that the multi-drug resistant organism had decreased fitness compared to the sensitive organism.\nCONCLUSION: The decreased relative fitness of the resistant strain implies a physiologic cal cost for the development of drug resistance.","DOI":"10.1053/jinf.2000.0711","ISSN":"0163-4453","note":"PMID: 11023769","journalAbbreviation":"J. Infect.","language":"eng","author":[{"family":"Davies","given":"A P"},{"family":"Billington","given":"O J"},{"family":"Bannister","given":"B A"},{"family":"Weir","given":"W R"},{"family":"McHugh","given":"T D"},{"family":"Gillespie","given":"S H"}],"issued":{"date-parts":[["2000",9]]},"PMID":"11023769"}}],"schema":"https://github.com/citation-style-language/schema/raw/master/csl-citation.json"} </w:instrText>
            </w:r>
            <w:r w:rsidR="0006417F" w:rsidRPr="00BD3A97">
              <w:rPr>
                <w:noProof/>
              </w:rPr>
              <w:fldChar w:fldCharType="separate"/>
            </w:r>
            <w:r w:rsidRPr="00312EDB">
              <w:rPr>
                <w:rFonts w:ascii="Calibri" w:hAnsi="Calibri"/>
              </w:rPr>
              <w:t>[11–13]</w:t>
            </w:r>
            <w:r w:rsidR="0006417F" w:rsidRPr="00BD3A97">
              <w:rPr>
                <w:noProof/>
              </w:rPr>
              <w:fldChar w:fldCharType="end"/>
            </w:r>
            <w:r>
              <w:rPr>
                <w:noProof/>
              </w:rPr>
              <w:t>.</w:t>
            </w:r>
            <w:r w:rsidRPr="00BD3A97">
              <w:t xml:space="preserve"> However</w:t>
            </w:r>
            <w:r w:rsidRPr="00BD3A97">
              <w:rPr>
                <w:noProof/>
              </w:rPr>
              <w:t xml:space="preserve"> studies of this kind </w:t>
            </w:r>
            <w:r w:rsidRPr="00BD3A97">
              <w:t xml:space="preserve">do not account for the myriad of potential clinical, environmental and socio-economic confounding variables that influence the ability of a patient to transmit the pathogen and cause tuberculosis disease in a contact. </w:t>
            </w:r>
            <w:r w:rsidRPr="00312EDB">
              <w:rPr>
                <w:i/>
              </w:rPr>
              <w:t>In vitro</w:t>
            </w:r>
            <w:r>
              <w:t xml:space="preserve"> techniques</w:t>
            </w:r>
            <w:r w:rsidRPr="00BD3A97">
              <w:t xml:space="preserve"> also fail to measure fitness over the transmission cycle of the pathogen from disease in the index case to disease in the contact.</w:t>
            </w:r>
          </w:p>
          <w:p w:rsidR="00530514" w:rsidRDefault="00530514" w:rsidP="00E33D4E"/>
          <w:p w:rsidR="00E33D4E" w:rsidRPr="00BD3A97" w:rsidRDefault="00E33D4E" w:rsidP="00E33D4E">
            <w:r w:rsidRPr="00BD3A97">
              <w:t xml:space="preserve">Very few studies have estimated fitness </w:t>
            </w:r>
            <w:r w:rsidRPr="00BD3A97">
              <w:rPr>
                <w:i/>
              </w:rPr>
              <w:t>in vivo</w:t>
            </w:r>
            <w:r w:rsidRPr="00BD3A97">
              <w:t xml:space="preserve"> by comparing the incidence of second cases of tuberculosis among contacts of multidrug-resistant tuberculosis </w:t>
            </w:r>
            <w:r w:rsidRPr="00BD3A97">
              <w:lastRenderedPageBreak/>
              <w:t>patients to that among the contacts of drug susceptible tuberculosis patients. Studies that have measured the incidence of second cases in households with multidrug-resistant tuberculosis have lacked statistical power</w:t>
            </w:r>
            <w:r>
              <w:t xml:space="preserve"> </w:t>
            </w:r>
            <w:r w:rsidR="0006417F" w:rsidRPr="00BD3A97">
              <w:fldChar w:fldCharType="begin"/>
            </w:r>
            <w:r>
              <w:instrText xml:space="preserve"> ADDIN ZOTERO_ITEM CSL_CITATION {"citationID":"hp5g7u7bp","properties":{"formattedCitation":"[11,12]","plainCitation":"[11,12]"},"citationItems":[{"id":270,"uris":["http://zotero.org/users/local/Zvy1osKI/items/BK3VCK2R"],"uri":["http://zotero.org/users/local/Zvy1osKI/items/BK3VCK2R"],"itemData":{"id":270,"type":"article-journal","title":"Infection and disease among household contacts of patients with multidrug-resistant tuberculosis","container-title":"Int J Tuberc Lung Dis","page":"321-8","volume":"5","archive_location":"11334250","abstract":"SETTING: Urban public teaching and referral hospital in Espirito Santo, Brazil. OBJECTIVE: To assess whether rates of infection and progression to active tuberculosis (TB) differed between household contacts of patients with multidrug-resistant (MDR) and drug susceptible (DS) pulmonary tuberculosis. DESIGN: Household contacts were assessed for evidence of TB infection and disease by purified protein derivative (PPD) skin testing, physical examination, chest X-ray, and sputum smear and culture. RESULTS: Among 133 close contacts of patients with MDR-TB, 44% were PPD-positive (&gt; or =10 mm) compared to 37% of 231 contacts of the DS-TB cases (P = 0.18, chi2 test, OR 1.2, 95%CI 0.8-2). In a multivariate logistic regression analysis, after allowance for between-household variation in PPD responses, PPD positivity among household contacts of patients with MDR-TB remained comparable to PPD positivity in contacts of patients with DS-TB (OR 2.1, 95%CI 0.7-6.5). Respectively six (4%) and 11 (4%) contacts of the MDR- and DS-TB cases were found to have active TB at the time of initial evaluation or during follow-up (P = 0.78, chi2 test). Five of six contacts of MDR-TB cases and nine of nine contacts of DS-TB cases who developed TB, and for whom drug susceptibility test results were available, had the same bacterial susceptibility profiles as their index cases. DNA fingerprinting analysis of Mycobacterium tuberculosis isolates was identical between household contacts with active TB and the index MDR or DS-TB case for all 14 pairs compared. CONCLUSION: Our data suggest that the prevalence of tuberculous infection and progression to active TB among household contacts exposed to DS and MDR-TB cases is comparable, despite a longer duration of exposure of contacts to the index case in patients with MDR-TB.","note":"4","shortTitle":"Infection and disease among household contacts of patients with multidrug-resistant tuberculosis","author":[{"family":"Teixeira","given":"L."},{"family":"Perkins","given":"M. D."},{"family":"Johnson","given":"J. L."},{"family":"Keller","given":"R."},{"family":"Palaci","given":"M."},{"family":"do Valle Dettoni","given":"V."},{"family":"Canedo Rocha","given":"L. M."},{"family":"Debanne","given":"S."},{"family":"Talbot","given":"E."},{"family":"Dietze","given":"R."}],"issued":{"date-parts":[["2001",4]]}}},{"id":15,"uris":["http://zotero.org/users/local/Zvy1osKI/items/8MQPX4NX"],"uri":["http://zotero.org/users/local/Zvy1osKI/items/8MQPX4NX"],"itemData":{"id":15,"type":"article-journal","title":"Risk of tuberculosis in close contacts of patients with multidrug resistant tuberculosis: a nationwide cohort","container-title":"Thorax","page":"271","volume":"64","archive_location":"19252032","note":"3","shortTitle":"Risk of tuberculosis in close contacts of patients with multidrug resistant tuberculosis: a nationwide cohort","author":[{"family":"Attamna","given":"A."},{"family":"Chemtob","given":"D."},{"family":"Attamna","given":"S."},{"family":"Fraser","given":"A."},{"family":"Rorman","given":"E."},{"family":"Paul","given":"M."},{"family":"Leibovici","given":"L."}],"issued":{"date-parts":[["2009",3]]}}}],"schema":"https://github.com/citation-style-language/schema/raw/master/csl-citation.json"} </w:instrText>
            </w:r>
            <w:r w:rsidR="0006417F" w:rsidRPr="00BD3A97">
              <w:fldChar w:fldCharType="separate"/>
            </w:r>
            <w:r w:rsidRPr="00144765">
              <w:rPr>
                <w:rFonts w:ascii="Calibri" w:hAnsi="Calibri"/>
              </w:rPr>
              <w:t>[11,12]</w:t>
            </w:r>
            <w:r w:rsidR="0006417F" w:rsidRPr="00BD3A97">
              <w:fldChar w:fldCharType="end"/>
            </w:r>
            <w:r w:rsidRPr="00BD3A97">
              <w:t>, or have not included drug susceptible controls for comparison.</w:t>
            </w:r>
            <w:r>
              <w:t xml:space="preserve"> </w:t>
            </w:r>
            <w:r w:rsidR="0006417F" w:rsidRPr="00BD3A97">
              <w:fldChar w:fldCharType="begin"/>
            </w:r>
            <w:r>
              <w:instrText xml:space="preserve"> ADDIN ZOTERO_ITEM CSL_CITATION {"citationID":"5nh6cc3ea","properties":{"formattedCitation":"[13]","plainCitation":"[13]"},"citationItems":[{"id":26,"uris":["http://zotero.org/users/local/Zvy1osKI/items/JX9FEQV9"],"uri":["http://zotero.org/users/local/Zvy1osKI/items/JX9FEQV9"],"itemData":{"id":26,"type":"article-journal","title":"Tuberculosis burden in households of patients with multidrug-resistant and extensively drug-resistant tuberculosis: a retrospective cohort study","container-title":"Lancet","page":"147-52","volume":"377","archive_location":"21145581","abstract":"BACKGROUND: Multidrug-resistant (MDR) and extensively drug-resistant (XDR) tuberculosis have emerged as major global health threats. WHO recommends contact investigation in close contacts of patients with MDR and XDR tuberculosis. We aimed to assess the burden of tuberculosis disease in household contacts of such patients. METHODS: We undertook a retrospective cohort study of household contacts of patients treated for MDR or XDR tuberculosis in Lima, Peru, in 1996-2003. The primary outcome was active tuberculosis in household contacts at the time the index patient began MDR tuberculosis treatment and during the 4-year follow-up. We examined whether the occurrence of active tuberculosis in the household contacts differed by resistance pattern of the index patient: either MDR or XDR tuberculosis. FINDINGS: 693 households of index patients with MDR tuberculosis were enrolled in the study. In 48 households, the Mycobacterium tuberculosis isolate from the index patient was XDR. Of the 4503 household contacts, 117 (2.60%) had active tuberculosis at the time the index patient began MDR tuberculosis treatment-there was no difference in prevalence between XDR and MDR tuberculosis households. During the 4-year follow-up, 242 contacts developed active tuberculosis-the frequency of active tuberculosis was nearly two times higher in contacts of patients with XDR tuberculosis than it was in contacts of patients with MDR tuberculosis (hazard ratio 1.88, 95% CI 1.10-3.21). In the 359 contacts with active tuberculosis, 142 (40%) had had isolates tested for resistance against first-line drugs, of whom 129 (90.9%, 95% CI 85.0-94.6) had MDR tuberculosis. INTERPRETATION: In view of the high risk of disease recorded in household contacts of patients with MDR or XDR tuberculosis, tuberculosis programmes should implement systematic household contact investigations for all patients identified as having MDR or XDR tuberculosis. If shown to have active tuberculosis, these household contacts should be suspected as having MDR tuberculosis until proven otherwise. FUNDING: The Charles H Hood Foundation, the David Rockefeller Center for Latin American Studies at Harvard University, and the Bill &amp; Melinda Gates Foundation.","note":"9760","shortTitle":"Tuberculosis burden in households of patients with multidrug-resistant and extensively drug-resistant tuberculosis: a retrospective cohort study","author":[{"family":"Becerra","given":"M. C."},{"family":"Appleton","given":"S. C."},{"family":"Franke","given":"M. F."},{"family":"Chalco","given":"K."},{"family":"Arteaga","given":"F."},{"family":"Bayona","given":"J."},{"family":"Murray","given":"M."},{"family":"Atwood","given":"S. S."},{"family":"Mitnick","given":"C. D."}],"issued":{"date-parts":[["2011",1,8]]}}}],"schema":"https://github.com/citation-style-language/schema/raw/master/csl-citation.json"} </w:instrText>
            </w:r>
            <w:r w:rsidR="0006417F" w:rsidRPr="00BD3A97">
              <w:fldChar w:fldCharType="separate"/>
            </w:r>
            <w:r w:rsidRPr="00144765">
              <w:rPr>
                <w:rFonts w:ascii="Calibri" w:hAnsi="Calibri"/>
              </w:rPr>
              <w:t>[13]</w:t>
            </w:r>
            <w:r w:rsidR="0006417F" w:rsidRPr="00BD3A97">
              <w:fldChar w:fldCharType="end"/>
            </w:r>
            <w:r w:rsidRPr="00BD3A97">
              <w:t xml:space="preserve"> </w:t>
            </w:r>
          </w:p>
          <w:p w:rsidR="00191A23" w:rsidRPr="00E33D4E" w:rsidRDefault="00191A23" w:rsidP="0022554A">
            <w:pPr>
              <w:tabs>
                <w:tab w:val="left" w:pos="5400"/>
              </w:tabs>
            </w:pPr>
          </w:p>
        </w:tc>
      </w:tr>
      <w:tr w:rsidR="00191A23" w:rsidRPr="0022554A" w:rsidTr="00BA5CAE">
        <w:tc>
          <w:tcPr>
            <w:tcW w:w="1951" w:type="dxa"/>
          </w:tcPr>
          <w:p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lastRenderedPageBreak/>
              <w:t>Objectives</w:t>
            </w:r>
          </w:p>
        </w:tc>
        <w:tc>
          <w:tcPr>
            <w:tcW w:w="616" w:type="dxa"/>
          </w:tcPr>
          <w:p w:rsidR="00191A23" w:rsidRPr="0022554A" w:rsidRDefault="00191A23" w:rsidP="0022554A">
            <w:pPr>
              <w:tabs>
                <w:tab w:val="left" w:pos="5400"/>
              </w:tabs>
              <w:jc w:val="center"/>
              <w:rPr>
                <w:sz w:val="20"/>
              </w:rPr>
            </w:pPr>
            <w:r w:rsidRPr="0022554A">
              <w:rPr>
                <w:sz w:val="20"/>
              </w:rPr>
              <w:t>3</w:t>
            </w:r>
          </w:p>
        </w:tc>
        <w:tc>
          <w:tcPr>
            <w:tcW w:w="3070" w:type="dxa"/>
          </w:tcPr>
          <w:p w:rsidR="00191A23" w:rsidRPr="0022554A" w:rsidRDefault="00191A23" w:rsidP="0022554A">
            <w:pPr>
              <w:tabs>
                <w:tab w:val="left" w:pos="5400"/>
              </w:tabs>
              <w:rPr>
                <w:sz w:val="20"/>
              </w:rPr>
            </w:pPr>
            <w:r w:rsidRPr="0022554A">
              <w:rPr>
                <w:sz w:val="20"/>
              </w:rPr>
              <w:t xml:space="preserve">State specific objectives, including any </w:t>
            </w:r>
            <w:proofErr w:type="spellStart"/>
            <w:r w:rsidRPr="0022554A">
              <w:rPr>
                <w:sz w:val="20"/>
              </w:rPr>
              <w:t>prespecified</w:t>
            </w:r>
            <w:proofErr w:type="spellEnd"/>
            <w:r w:rsidRPr="0022554A">
              <w:rPr>
                <w:sz w:val="20"/>
              </w:rPr>
              <w:t xml:space="preserve"> hypotheses</w:t>
            </w:r>
          </w:p>
        </w:tc>
        <w:tc>
          <w:tcPr>
            <w:tcW w:w="1306" w:type="dxa"/>
          </w:tcPr>
          <w:p w:rsidR="00191A23" w:rsidRPr="0022554A" w:rsidRDefault="00201CA4" w:rsidP="00BA5CAE">
            <w:pPr>
              <w:tabs>
                <w:tab w:val="left" w:pos="5400"/>
              </w:tabs>
              <w:jc w:val="center"/>
              <w:rPr>
                <w:sz w:val="20"/>
              </w:rPr>
            </w:pPr>
            <w:r>
              <w:rPr>
                <w:sz w:val="20"/>
              </w:rPr>
              <w:t xml:space="preserve">Methods Paragraph 2 </w:t>
            </w:r>
          </w:p>
        </w:tc>
        <w:tc>
          <w:tcPr>
            <w:tcW w:w="8285" w:type="dxa"/>
          </w:tcPr>
          <w:p w:rsidR="00191A23" w:rsidRPr="00E33D4E" w:rsidRDefault="00E33D4E" w:rsidP="0022554A">
            <w:pPr>
              <w:tabs>
                <w:tab w:val="left" w:pos="5400"/>
              </w:tabs>
            </w:pPr>
            <w:r>
              <w:t xml:space="preserve">. . . . </w:t>
            </w:r>
            <w:proofErr w:type="gramStart"/>
            <w:r>
              <w:t>h</w:t>
            </w:r>
            <w:r w:rsidR="00BA5CAE">
              <w:t>ypothesis</w:t>
            </w:r>
            <w:proofErr w:type="gramEnd"/>
            <w:r w:rsidR="00BA5CAE">
              <w:t xml:space="preserve"> was that the incidence of second cases of tuberculosis disease among the contacts of MDRTB was different to that among the contacts of drug susceptible tuberculosis contacts</w:t>
            </w:r>
            <w:r>
              <w:t>.</w:t>
            </w:r>
          </w:p>
        </w:tc>
      </w:tr>
      <w:tr w:rsidR="00191A23" w:rsidRPr="0022554A" w:rsidTr="00BA5CAE">
        <w:tc>
          <w:tcPr>
            <w:tcW w:w="5637" w:type="dxa"/>
            <w:gridSpan w:val="3"/>
          </w:tcPr>
          <w:p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9591" w:type="dxa"/>
            <w:gridSpan w:val="2"/>
          </w:tcPr>
          <w:p w:rsidR="00191A23" w:rsidRPr="0022554A" w:rsidRDefault="00191A23" w:rsidP="0022554A">
            <w:pPr>
              <w:pStyle w:val="TableSubHead"/>
              <w:tabs>
                <w:tab w:val="left" w:pos="5400"/>
              </w:tabs>
              <w:rPr>
                <w:sz w:val="20"/>
              </w:rPr>
            </w:pPr>
          </w:p>
        </w:tc>
      </w:tr>
      <w:tr w:rsidR="00191A23" w:rsidRPr="0022554A" w:rsidTr="00BA5CAE">
        <w:tc>
          <w:tcPr>
            <w:tcW w:w="1951" w:type="dxa"/>
          </w:tcPr>
          <w:p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rsidR="00191A23" w:rsidRPr="0022554A" w:rsidRDefault="00191A23" w:rsidP="0022554A">
            <w:pPr>
              <w:tabs>
                <w:tab w:val="left" w:pos="5400"/>
              </w:tabs>
              <w:jc w:val="center"/>
              <w:rPr>
                <w:sz w:val="20"/>
              </w:rPr>
            </w:pPr>
            <w:r w:rsidRPr="0022554A">
              <w:rPr>
                <w:sz w:val="20"/>
              </w:rPr>
              <w:t>4</w:t>
            </w:r>
          </w:p>
        </w:tc>
        <w:tc>
          <w:tcPr>
            <w:tcW w:w="3070" w:type="dxa"/>
          </w:tcPr>
          <w:p w:rsidR="00191A23" w:rsidRPr="0022554A" w:rsidRDefault="00191A23" w:rsidP="0022554A">
            <w:pPr>
              <w:tabs>
                <w:tab w:val="left" w:pos="5400"/>
              </w:tabs>
              <w:rPr>
                <w:sz w:val="20"/>
              </w:rPr>
            </w:pPr>
            <w:r w:rsidRPr="0022554A">
              <w:rPr>
                <w:sz w:val="20"/>
              </w:rPr>
              <w:t>Present key elements of study design early in the paper</w:t>
            </w:r>
          </w:p>
        </w:tc>
        <w:tc>
          <w:tcPr>
            <w:tcW w:w="1306" w:type="dxa"/>
          </w:tcPr>
          <w:p w:rsidR="00191A23" w:rsidRPr="0022554A" w:rsidRDefault="00201CA4" w:rsidP="002F7C17">
            <w:pPr>
              <w:tabs>
                <w:tab w:val="left" w:pos="5400"/>
              </w:tabs>
              <w:jc w:val="center"/>
              <w:rPr>
                <w:sz w:val="20"/>
              </w:rPr>
            </w:pPr>
            <w:r>
              <w:rPr>
                <w:sz w:val="20"/>
              </w:rPr>
              <w:t>Methods Paragraph 2</w:t>
            </w:r>
          </w:p>
        </w:tc>
        <w:tc>
          <w:tcPr>
            <w:tcW w:w="8285" w:type="dxa"/>
          </w:tcPr>
          <w:p w:rsidR="00191A23" w:rsidRPr="0022554A" w:rsidRDefault="002F7C17" w:rsidP="0022554A">
            <w:pPr>
              <w:tabs>
                <w:tab w:val="left" w:pos="5400"/>
              </w:tabs>
              <w:rPr>
                <w:sz w:val="20"/>
              </w:rPr>
            </w:pPr>
            <w:r w:rsidRPr="00BD3A97">
              <w:t>This 3 year prospective cohort study</w:t>
            </w:r>
          </w:p>
        </w:tc>
      </w:tr>
      <w:tr w:rsidR="00191A23" w:rsidRPr="0022554A" w:rsidTr="00BA5CAE">
        <w:tc>
          <w:tcPr>
            <w:tcW w:w="1951" w:type="dxa"/>
          </w:tcPr>
          <w:p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rsidR="00191A23" w:rsidRPr="0022554A" w:rsidRDefault="00191A23" w:rsidP="0022554A">
            <w:pPr>
              <w:tabs>
                <w:tab w:val="left" w:pos="5400"/>
              </w:tabs>
              <w:jc w:val="center"/>
              <w:rPr>
                <w:sz w:val="20"/>
              </w:rPr>
            </w:pPr>
            <w:r w:rsidRPr="0022554A">
              <w:rPr>
                <w:sz w:val="20"/>
              </w:rPr>
              <w:t>5</w:t>
            </w:r>
          </w:p>
        </w:tc>
        <w:tc>
          <w:tcPr>
            <w:tcW w:w="3070" w:type="dxa"/>
          </w:tcPr>
          <w:p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306" w:type="dxa"/>
          </w:tcPr>
          <w:p w:rsidR="00191A23" w:rsidRPr="0022554A" w:rsidRDefault="00201CA4" w:rsidP="002F7C17">
            <w:pPr>
              <w:tabs>
                <w:tab w:val="left" w:pos="5400"/>
              </w:tabs>
              <w:jc w:val="center"/>
              <w:rPr>
                <w:sz w:val="20"/>
              </w:rPr>
            </w:pPr>
            <w:r>
              <w:rPr>
                <w:sz w:val="20"/>
              </w:rPr>
              <w:t>Methods Paragraph 2</w:t>
            </w:r>
          </w:p>
        </w:tc>
        <w:tc>
          <w:tcPr>
            <w:tcW w:w="8285" w:type="dxa"/>
          </w:tcPr>
          <w:p w:rsidR="00191A23" w:rsidRPr="0022554A" w:rsidRDefault="00EA73B8" w:rsidP="0022554A">
            <w:pPr>
              <w:tabs>
                <w:tab w:val="left" w:pos="5400"/>
              </w:tabs>
              <w:rPr>
                <w:sz w:val="20"/>
              </w:rPr>
            </w:pPr>
            <w:r w:rsidRPr="00BD3A97">
              <w:t xml:space="preserve">This 3 year prospective cohort study was undertaken between September 2010 and September 2013 in two </w:t>
            </w:r>
            <w:r>
              <w:t>study sites in</w:t>
            </w:r>
            <w:r w:rsidRPr="00BD3A97">
              <w:t xml:space="preserve"> metropolitan Lima (Lima South and the region of Callao).</w:t>
            </w:r>
          </w:p>
        </w:tc>
      </w:tr>
      <w:bookmarkEnd w:id="25"/>
      <w:bookmarkEnd w:id="26"/>
      <w:tr w:rsidR="00191A23" w:rsidRPr="0022554A" w:rsidTr="00BA5CAE">
        <w:tc>
          <w:tcPr>
            <w:tcW w:w="1951" w:type="dxa"/>
            <w:vMerge w:val="restart"/>
          </w:tcPr>
          <w:p w:rsidR="00191A23" w:rsidRPr="0022554A" w:rsidRDefault="00191A23" w:rsidP="0022554A">
            <w:pPr>
              <w:tabs>
                <w:tab w:val="left" w:pos="5400"/>
              </w:tabs>
              <w:rPr>
                <w:bCs/>
                <w:sz w:val="20"/>
              </w:rPr>
            </w:pPr>
            <w:r w:rsidRPr="0022554A">
              <w:rPr>
                <w:bCs/>
                <w:sz w:val="20"/>
              </w:rPr>
              <w:t>Participants</w:t>
            </w:r>
          </w:p>
        </w:tc>
        <w:tc>
          <w:tcPr>
            <w:tcW w:w="616" w:type="dxa"/>
            <w:vMerge w:val="restart"/>
          </w:tcPr>
          <w:p w:rsidR="00191A23" w:rsidRPr="0022554A" w:rsidRDefault="00191A23" w:rsidP="0022554A">
            <w:pPr>
              <w:tabs>
                <w:tab w:val="left" w:pos="5400"/>
              </w:tabs>
              <w:jc w:val="center"/>
              <w:rPr>
                <w:sz w:val="20"/>
              </w:rPr>
            </w:pPr>
            <w:r w:rsidRPr="0022554A">
              <w:rPr>
                <w:sz w:val="20"/>
              </w:rPr>
              <w:t>6</w:t>
            </w:r>
          </w:p>
        </w:tc>
        <w:tc>
          <w:tcPr>
            <w:tcW w:w="3070"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306" w:type="dxa"/>
          </w:tcPr>
          <w:p w:rsidR="00191A23" w:rsidRPr="0022554A" w:rsidRDefault="00201CA4" w:rsidP="002F7C17">
            <w:pPr>
              <w:tabs>
                <w:tab w:val="left" w:pos="5400"/>
              </w:tabs>
              <w:jc w:val="center"/>
              <w:rPr>
                <w:sz w:val="20"/>
              </w:rPr>
            </w:pPr>
            <w:r>
              <w:rPr>
                <w:sz w:val="20"/>
              </w:rPr>
              <w:t>Methods Paragraph 3</w:t>
            </w:r>
          </w:p>
        </w:tc>
        <w:tc>
          <w:tcPr>
            <w:tcW w:w="8285" w:type="dxa"/>
          </w:tcPr>
          <w:p w:rsidR="00191A23" w:rsidRPr="0022554A" w:rsidRDefault="00EA73B8" w:rsidP="0022554A">
            <w:pPr>
              <w:tabs>
                <w:tab w:val="left" w:pos="5400"/>
              </w:tabs>
              <w:rPr>
                <w:sz w:val="20"/>
              </w:rPr>
            </w:pPr>
            <w:r w:rsidRPr="00BD3A97">
              <w:t xml:space="preserve">Multidrug resistant tuberculosis patients (resistant to at least </w:t>
            </w:r>
            <w:proofErr w:type="spellStart"/>
            <w:r w:rsidRPr="00BD3A97">
              <w:t>rifampicin</w:t>
            </w:r>
            <w:proofErr w:type="spellEnd"/>
            <w:r w:rsidRPr="00BD3A97">
              <w:t xml:space="preserve"> and </w:t>
            </w:r>
            <w:proofErr w:type="spellStart"/>
            <w:r w:rsidRPr="00BD3A97">
              <w:t>isoniazid</w:t>
            </w:r>
            <w:proofErr w:type="spellEnd"/>
            <w:r w:rsidRPr="00BD3A97">
              <w:t xml:space="preserve">) and drug susceptible patients (susceptible to both </w:t>
            </w:r>
            <w:proofErr w:type="spellStart"/>
            <w:r w:rsidRPr="00BD3A97">
              <w:t>rifampicin</w:t>
            </w:r>
            <w:proofErr w:type="spellEnd"/>
            <w:r w:rsidRPr="00BD3A97">
              <w:t xml:space="preserve"> and </w:t>
            </w:r>
            <w:proofErr w:type="spellStart"/>
            <w:r w:rsidRPr="00BD3A97">
              <w:t>isoniazid</w:t>
            </w:r>
            <w:proofErr w:type="spellEnd"/>
            <w:r w:rsidRPr="00BD3A97">
              <w:t>) were identified at diagnosis from each of the regional reference laboratories. Index patients were recruited at</w:t>
            </w:r>
            <w:r>
              <w:t xml:space="preserve"> diagnosis</w:t>
            </w:r>
            <w:r w:rsidRPr="00BD3A97">
              <w:t xml:space="preserve"> (MDR or drug susceptible) and a </w:t>
            </w:r>
            <w:r>
              <w:t xml:space="preserve">sputum </w:t>
            </w:r>
            <w:r w:rsidRPr="00BD3A97">
              <w:t>culture was obtained.</w:t>
            </w:r>
          </w:p>
        </w:tc>
      </w:tr>
      <w:tr w:rsidR="00191A23" w:rsidRPr="0022554A" w:rsidTr="00BA5CAE">
        <w:tc>
          <w:tcPr>
            <w:tcW w:w="1951" w:type="dxa"/>
            <w:vMerge/>
          </w:tcPr>
          <w:p w:rsidR="00191A23" w:rsidRPr="0022554A" w:rsidRDefault="00191A23" w:rsidP="0022554A">
            <w:pPr>
              <w:tabs>
                <w:tab w:val="left" w:pos="5400"/>
              </w:tabs>
              <w:rPr>
                <w:bCs/>
                <w:sz w:val="20"/>
              </w:rPr>
            </w:pPr>
            <w:bookmarkStart w:id="27" w:name="bold14" w:colFirst="0" w:colLast="0"/>
            <w:bookmarkStart w:id="28" w:name="italic15" w:colFirst="0" w:colLast="0"/>
          </w:p>
        </w:tc>
        <w:tc>
          <w:tcPr>
            <w:tcW w:w="616" w:type="dxa"/>
            <w:vMerge/>
          </w:tcPr>
          <w:p w:rsidR="00191A23" w:rsidRPr="0022554A" w:rsidRDefault="00191A23" w:rsidP="0022554A">
            <w:pPr>
              <w:tabs>
                <w:tab w:val="left" w:pos="5400"/>
              </w:tabs>
              <w:jc w:val="center"/>
              <w:rPr>
                <w:sz w:val="20"/>
              </w:rPr>
            </w:pPr>
          </w:p>
        </w:tc>
        <w:tc>
          <w:tcPr>
            <w:tcW w:w="3070"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 xml:space="preserve">—For matched </w:t>
            </w:r>
            <w:r w:rsidRPr="0022554A">
              <w:rPr>
                <w:sz w:val="20"/>
              </w:rPr>
              <w:lastRenderedPageBreak/>
              <w:t>studies, give matching criteria and number of exposed and unexposed</w:t>
            </w:r>
          </w:p>
          <w:p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306" w:type="dxa"/>
          </w:tcPr>
          <w:p w:rsidR="00191A23" w:rsidRPr="0022554A" w:rsidRDefault="00201CA4" w:rsidP="00831BE4">
            <w:pPr>
              <w:tabs>
                <w:tab w:val="left" w:pos="5400"/>
              </w:tabs>
              <w:jc w:val="center"/>
              <w:rPr>
                <w:sz w:val="20"/>
              </w:rPr>
            </w:pPr>
            <w:r>
              <w:rPr>
                <w:sz w:val="20"/>
              </w:rPr>
              <w:lastRenderedPageBreak/>
              <w:t xml:space="preserve">Methods </w:t>
            </w:r>
            <w:r>
              <w:rPr>
                <w:sz w:val="20"/>
              </w:rPr>
              <w:lastRenderedPageBreak/>
              <w:t>Paragraph 4</w:t>
            </w:r>
          </w:p>
        </w:tc>
        <w:tc>
          <w:tcPr>
            <w:tcW w:w="8285" w:type="dxa"/>
          </w:tcPr>
          <w:p w:rsidR="00191A23" w:rsidRPr="0022554A" w:rsidRDefault="00E33D4E" w:rsidP="0022554A">
            <w:pPr>
              <w:tabs>
                <w:tab w:val="left" w:pos="5400"/>
              </w:tabs>
              <w:rPr>
                <w:sz w:val="20"/>
              </w:rPr>
            </w:pPr>
            <w:r>
              <w:lastRenderedPageBreak/>
              <w:t>E</w:t>
            </w:r>
            <w:r w:rsidR="00831BE4" w:rsidRPr="00BD3A97">
              <w:t xml:space="preserve">ach MDRTB index patient recruited at least two age and sex matched drug </w:t>
            </w:r>
            <w:r w:rsidR="00831BE4" w:rsidRPr="00BD3A97">
              <w:lastRenderedPageBreak/>
              <w:t xml:space="preserve">susceptible controls were selected at random from the same study site </w:t>
            </w:r>
            <w:r w:rsidR="00831BE4">
              <w:t xml:space="preserve">as the index case </w:t>
            </w:r>
            <w:r w:rsidR="00831BE4" w:rsidRPr="00BD3A97">
              <w:t>for comparison.</w:t>
            </w:r>
          </w:p>
        </w:tc>
      </w:tr>
      <w:tr w:rsidR="00191A23" w:rsidRPr="0022554A" w:rsidTr="00BA5CAE">
        <w:tc>
          <w:tcPr>
            <w:tcW w:w="1951" w:type="dxa"/>
          </w:tcPr>
          <w:p w:rsidR="00191A23" w:rsidRPr="0022554A" w:rsidRDefault="00191A23"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lastRenderedPageBreak/>
              <w:t>Variables</w:t>
            </w:r>
          </w:p>
        </w:tc>
        <w:tc>
          <w:tcPr>
            <w:tcW w:w="616" w:type="dxa"/>
          </w:tcPr>
          <w:p w:rsidR="00191A23" w:rsidRPr="0022554A" w:rsidRDefault="00191A23" w:rsidP="0022554A">
            <w:pPr>
              <w:tabs>
                <w:tab w:val="left" w:pos="5400"/>
              </w:tabs>
              <w:jc w:val="center"/>
              <w:rPr>
                <w:sz w:val="20"/>
              </w:rPr>
            </w:pPr>
            <w:r w:rsidRPr="0022554A">
              <w:rPr>
                <w:sz w:val="20"/>
              </w:rPr>
              <w:t>7</w:t>
            </w:r>
          </w:p>
        </w:tc>
        <w:tc>
          <w:tcPr>
            <w:tcW w:w="3070" w:type="dxa"/>
          </w:tcPr>
          <w:p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306" w:type="dxa"/>
          </w:tcPr>
          <w:p w:rsidR="00191A23" w:rsidRPr="0022554A" w:rsidRDefault="00201CA4" w:rsidP="00AF4B5B">
            <w:pPr>
              <w:tabs>
                <w:tab w:val="left" w:pos="5400"/>
              </w:tabs>
              <w:jc w:val="center"/>
              <w:rPr>
                <w:sz w:val="20"/>
              </w:rPr>
            </w:pPr>
            <w:r>
              <w:rPr>
                <w:sz w:val="20"/>
              </w:rPr>
              <w:t>Methods Paragraph 5-6</w:t>
            </w:r>
          </w:p>
        </w:tc>
        <w:tc>
          <w:tcPr>
            <w:tcW w:w="8285" w:type="dxa"/>
          </w:tcPr>
          <w:p w:rsidR="00530514" w:rsidRPr="00BD3A97" w:rsidRDefault="00530514" w:rsidP="00530514">
            <w:r w:rsidRPr="00BD3A97">
              <w:t>Index patients were followed up at the local health centre by study staff every 6 months and asked about the wellbeing of family members and the occurrence of second cases of tuberculosis disease in the household. Any symptomatic contacts were encouraged to attend the local health post for testing. When recruitment to the study ended in January 2013, all index patients and their families were visited at home to ensure that all incident cases of tuberculosis disease during the study period had been recorded.</w:t>
            </w:r>
            <w:r>
              <w:t xml:space="preserve"> The final round of active household based follow-up for all families was designed to minimize potential bias from variable follow-up between groups. Chemoprophylaxis was prescribed and managed by the treating health centre/physician in accordance with the national tuberculosis policy: National policy recommended chemoprophylaxis to the household contacts of drug susceptible tuberculosis &lt;16 years of age and not for the contacts of MDRTB household contacts </w:t>
            </w:r>
            <w:r w:rsidR="0006417F">
              <w:fldChar w:fldCharType="begin"/>
            </w:r>
            <w:r>
              <w:instrText xml:space="preserve"> ADDIN ZOTERO_ITEM CSL_CITATION {"citationID":"1sogim6r","properties":{"formattedCitation":"[19]","plainCitation":"[19]"},"citationItems":[{"id":11,"uris":["http://zotero.org/users/local/5N2pAhfg/items/C4CFGCNR"],"uri":["http://zotero.org/users/local/5N2pAhfg/items/C4CFGCNR"],"itemData":{"id":11,"type":"article","title":"Norma Tecnica de Salud Para el Control de la Tuberculosis","publisher":"Peruvian Ministry of Health","source":"2006-6449","archive":"Biblioteca Central del Ministerio de Salud","URL":"http://www.minsa.gob.pe/portada/esntbc_tbnormas.asp#","language":"Spanish","author":[{"family":"Ministerio de Salud","given":""}],"issued":{"date-parts":[["2006",4,20]]}}}],"schema":"https://github.com/citation-style-language/schema/raw/master/csl-citation.json"} </w:instrText>
            </w:r>
            <w:r w:rsidR="0006417F">
              <w:fldChar w:fldCharType="separate"/>
            </w:r>
            <w:r w:rsidRPr="00312EDB">
              <w:rPr>
                <w:rFonts w:ascii="Calibri" w:hAnsi="Calibri"/>
              </w:rPr>
              <w:t>[19]</w:t>
            </w:r>
            <w:r w:rsidR="0006417F">
              <w:fldChar w:fldCharType="end"/>
            </w:r>
            <w:r>
              <w:t xml:space="preserve">. When there were delays in confirming MDRTB in the index case, multidrug-resistant tuberculosis contacts below 16 years of age were given </w:t>
            </w:r>
            <w:proofErr w:type="spellStart"/>
            <w:r>
              <w:t>isoniazid</w:t>
            </w:r>
            <w:proofErr w:type="spellEnd"/>
            <w:r>
              <w:t xml:space="preserve"> chemoprophylaxis, however after confirming the diagnosis the chemoprophylaxis was stopped. The number of contacts taking chemoprophylaxis and the duration of chemoprophylaxis was recorded for both groups.   </w:t>
            </w:r>
            <w:r w:rsidRPr="00BD3A97">
              <w:t xml:space="preserve"> </w:t>
            </w:r>
          </w:p>
          <w:p w:rsidR="00831BE4" w:rsidRPr="00BD3A97" w:rsidRDefault="00831BE4" w:rsidP="00831BE4">
            <w:r w:rsidRPr="00BD3A97">
              <w:t xml:space="preserve"> </w:t>
            </w:r>
          </w:p>
          <w:p w:rsidR="00530514" w:rsidRPr="006A3BAA" w:rsidRDefault="00530514" w:rsidP="00530514">
            <w:r w:rsidRPr="00BD3A97">
              <w:t>Household contacts were defined as any person living in the same house as the index case for more than one day a week. Follow-up time started for MDRTB household contacts at the time of diagnosis of index case MDRTB, while follow up time for drug susceptible index patients and their contacts started at the time of drug susceptible tuberculosis diagnosis. An ‘event’ was defined as the development of tuberculosis disease in a household contact that occurred after the diagnosis of tuberculosis in the index case. Tuberculosis disease in household contacts was defined as any patient that had evidence of tuberculosis disease from sputum smear, culture, chest x-ray or clinical diagnosis that led to initiation of anti-</w:t>
            </w:r>
            <w:proofErr w:type="spellStart"/>
            <w:r w:rsidRPr="00BD3A97">
              <w:t>tuberculous</w:t>
            </w:r>
            <w:proofErr w:type="spellEnd"/>
            <w:r w:rsidRPr="00BD3A97">
              <w:t xml:space="preserve"> </w:t>
            </w:r>
            <w:r w:rsidRPr="00BD3A97">
              <w:lastRenderedPageBreak/>
              <w:t>treatment. This definition was chosen in order to include children with tuberculosis who were diagnosed with tuberculosis disease and started on anti-</w:t>
            </w:r>
            <w:proofErr w:type="spellStart"/>
            <w:r w:rsidRPr="00BD3A97">
              <w:t>tuberculous</w:t>
            </w:r>
            <w:proofErr w:type="spellEnd"/>
            <w:r w:rsidRPr="00BD3A97">
              <w:t xml:space="preserve"> treatment by the treating physician without a microbiologically confirmed diagnosis. Contacts were censured (follow up stopped) if they were lost to follow-up or died. The incidence of tuberculosis disease was calculated as the number of incident cases of tuberculosis divided by the total number of contact follow-up person-years. </w:t>
            </w:r>
            <w:r>
              <w:t xml:space="preserve">Odds ratios of the differences between the two comparison groups were calculated using the STATA </w:t>
            </w:r>
            <w:proofErr w:type="spellStart"/>
            <w:r>
              <w:t>csi</w:t>
            </w:r>
            <w:proofErr w:type="spellEnd"/>
            <w:r>
              <w:t xml:space="preserve"> command for odds ratios in cohort studies with an exact p-value. </w:t>
            </w:r>
            <w:r w:rsidRPr="00BD3A97">
              <w:t>Previous tuberculosis disease was defined as any disease episode in which anti-</w:t>
            </w:r>
            <w:proofErr w:type="spellStart"/>
            <w:r w:rsidRPr="00BD3A97">
              <w:t>tuberculous</w:t>
            </w:r>
            <w:proofErr w:type="spellEnd"/>
            <w:r w:rsidRPr="00BD3A97">
              <w:t xml:space="preserve"> treatment had been successfully completed more than 6 months prior to the onset of the present tuberculosis episode.</w:t>
            </w:r>
            <w:r>
              <w:t xml:space="preserve"> </w:t>
            </w:r>
          </w:p>
          <w:p w:rsidR="00191A23" w:rsidRPr="0022554A" w:rsidRDefault="00191A23" w:rsidP="00530514">
            <w:pPr>
              <w:rPr>
                <w:sz w:val="20"/>
              </w:rPr>
            </w:pPr>
          </w:p>
        </w:tc>
      </w:tr>
      <w:tr w:rsidR="00191A23" w:rsidRPr="0022554A" w:rsidTr="00BA5CAE">
        <w:trPr>
          <w:trHeight w:val="294"/>
        </w:trPr>
        <w:tc>
          <w:tcPr>
            <w:tcW w:w="1951" w:type="dxa"/>
          </w:tcPr>
          <w:p w:rsidR="00191A23" w:rsidRPr="0022554A" w:rsidRDefault="00191A23" w:rsidP="0022554A">
            <w:pPr>
              <w:tabs>
                <w:tab w:val="left" w:pos="5400"/>
              </w:tabs>
              <w:rPr>
                <w:bCs/>
                <w:sz w:val="20"/>
              </w:rPr>
            </w:pPr>
            <w:bookmarkStart w:id="31" w:name="bold17"/>
            <w:bookmarkStart w:id="32" w:name="italic18"/>
            <w:bookmarkEnd w:id="29"/>
            <w:bookmarkEnd w:id="30"/>
            <w:r w:rsidRPr="0022554A">
              <w:rPr>
                <w:bCs/>
                <w:sz w:val="20"/>
              </w:rPr>
              <w:lastRenderedPageBreak/>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rsidR="00191A23" w:rsidRPr="0022554A" w:rsidRDefault="00191A23" w:rsidP="0022554A">
            <w:pPr>
              <w:tabs>
                <w:tab w:val="left" w:pos="5400"/>
              </w:tabs>
              <w:jc w:val="center"/>
              <w:rPr>
                <w:sz w:val="20"/>
              </w:rPr>
            </w:pPr>
            <w:r w:rsidRPr="0022554A">
              <w:rPr>
                <w:sz w:val="20"/>
              </w:rPr>
              <w:t>8</w:t>
            </w:r>
            <w:bookmarkStart w:id="35" w:name="bold19"/>
            <w:r w:rsidRPr="0022554A">
              <w:rPr>
                <w:bCs/>
                <w:sz w:val="20"/>
              </w:rPr>
              <w:t>*</w:t>
            </w:r>
            <w:bookmarkEnd w:id="35"/>
          </w:p>
        </w:tc>
        <w:tc>
          <w:tcPr>
            <w:tcW w:w="3070" w:type="dxa"/>
          </w:tcPr>
          <w:p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306" w:type="dxa"/>
          </w:tcPr>
          <w:p w:rsidR="00191A23" w:rsidRPr="00201CA4" w:rsidRDefault="00201CA4" w:rsidP="0022554A">
            <w:pPr>
              <w:tabs>
                <w:tab w:val="left" w:pos="5400"/>
              </w:tabs>
              <w:rPr>
                <w:sz w:val="20"/>
              </w:rPr>
            </w:pPr>
            <w:r>
              <w:rPr>
                <w:sz w:val="20"/>
              </w:rPr>
              <w:t>Methods Paragraph  4</w:t>
            </w:r>
          </w:p>
        </w:tc>
        <w:tc>
          <w:tcPr>
            <w:tcW w:w="8285" w:type="dxa"/>
          </w:tcPr>
          <w:p w:rsidR="00EA73B8" w:rsidRDefault="00530514" w:rsidP="0022554A">
            <w:pPr>
              <w:tabs>
                <w:tab w:val="left" w:pos="5400"/>
              </w:tabs>
            </w:pPr>
            <w:r w:rsidRPr="00BD3A97">
              <w:t>The structured questionnaire recorded information on patient demographics, the household environment (crowding and house construction) and clinical data such as sputum smear result, culture results and diagnosis dates.</w:t>
            </w:r>
            <w:r>
              <w:t xml:space="preserve"> All variables had been designed and field tested during the preliminary retrospective study </w:t>
            </w:r>
            <w:r w:rsidR="0006417F">
              <w:fldChar w:fldCharType="begin"/>
            </w:r>
            <w:r>
              <w:instrText xml:space="preserve"> ADDIN ZOTERO_ITEM CSL_CITATION {"citationID":"c64bittkr","properties":{"formattedCitation":"[18]","plainCitation":"[18]"},"citationItems":[{"id":3,"uris":["http://zotero.org/users/local/5N2pAhfg/items/KVERMFS3"],"uri":["http://zotero.org/users/local/5N2pAhfg/items/KVERMFS3"],"itemData":{"id":3,"type":"article-journal","title":"Tuberculosis in household contacts of multidrug-resistant tuberculosis patients","container-title":"The International Journal of Tuberculosis and Lung Disease: The Official Journal of the International Union Against Tuberculosis and Lung Disease","page":"1164-1169, i","volume":"15","issue":"9","source":"NCBI PubMed","abstract":"SETTING: The burden of tuberculosis (TB) disease among household contacts of multidrug-resistant TB (MDR-TB) patients is poorly understood and might represent a target for transmission-interrupting interventions.\nDESIGN: This retrospective cohort study, conducted in Lima, Peru, from June to September 2008, estimated the incidence of TB disease among household contacts of MDR-TB patients in 358 households.\nRESULTS: Of 2112 household contacts in 80 households (22% of households), 108 (5%) developed TB disease during the study, giving an incidence rate of 2360 per 100 000 contact follow-up years for each of the first 3 years after exposure. Drug susceptibility tests (DST) were available for 50 diseased contacts, of whom 36 (80%) had MDR-TB. Forty-two pairs of index-contact DSTs were available, among which the contact had an identical or less resistant phenotype than the index case in 27 pairs. Multivariate Cox regression demonstrated that male contacts (hazard ratio [HR] 2.8, P &lt; 0.05), with previous TB disease (HR 20.7, P &lt; 0.001) and with associated (non-human immunodeficiency virus) comorbidities (HR 11.2, P &lt; 0.001) were more likely to develop TB.\nCONCLUSION: The high percentage of diseased household contacts highlights an opportunity for household-level interventions to prevent transmission, whether or not these cases were all attributable to the index case.","DOI":"10.5588/ijtld.11.0030","ISSN":"1815-7920","note":"PMID: 21943839","journalAbbreviation":"Int. J. Tuberc. Lung Dis.","language":"eng","author":[{"family":"Grandjean","given":"L."},{"family":"Crossa","given":"A."},{"family":"Gilman","given":"R. H."},{"family":"Herrera","given":"C."},{"family":"Bonilla","given":"C."},{"family":"Jave","given":"O."},{"family":"Cabrera","given":"J. L."},{"family":"Martin","given":"L."},{"family":"Escombe","given":"A. R."},{"family":"Moore","given":"D. a. J."}],"issued":{"date-parts":[["2011",9]]},"PMID":"21943839"}}],"schema":"https://github.com/citation-style-language/schema/raw/master/csl-citation.json"} </w:instrText>
            </w:r>
            <w:r w:rsidR="0006417F">
              <w:fldChar w:fldCharType="separate"/>
            </w:r>
            <w:r w:rsidRPr="00312EDB">
              <w:rPr>
                <w:rFonts w:ascii="Calibri" w:hAnsi="Calibri"/>
              </w:rPr>
              <w:t>[18]</w:t>
            </w:r>
            <w:r w:rsidR="0006417F">
              <w:fldChar w:fldCharType="end"/>
            </w:r>
            <w:r>
              <w:t>.</w:t>
            </w:r>
          </w:p>
          <w:p w:rsidR="00530514" w:rsidRDefault="00530514" w:rsidP="0022554A">
            <w:pPr>
              <w:tabs>
                <w:tab w:val="left" w:pos="5400"/>
              </w:tabs>
            </w:pPr>
          </w:p>
          <w:p w:rsidR="00EA73B8" w:rsidRDefault="00EA73B8" w:rsidP="0022554A">
            <w:pPr>
              <w:tabs>
                <w:tab w:val="left" w:pos="5400"/>
              </w:tabs>
            </w:pPr>
            <w:r w:rsidRPr="00BD3A97">
              <w:t>All tuberculosis patients in Peru are tested for human immunodeficiency virus (HIV); these data were available from the patient record.</w:t>
            </w:r>
          </w:p>
          <w:p w:rsidR="00A54308" w:rsidRDefault="00A54308" w:rsidP="00A54308"/>
          <w:p w:rsidR="00A54308" w:rsidRDefault="00530514" w:rsidP="00A54308">
            <w:r w:rsidRPr="00BD3A97">
              <w:t>Patients that were able to expectorate sputum had their sputum tested by serial smear microscopy on a monthly basis.</w:t>
            </w:r>
            <w:r>
              <w:t xml:space="preserve"> For the purposes of analyzing time to sputum conversion to negative during index case follow-up; index patients were regarded as becoming smear negative on the date of the first negative sample if they consistently remained smear negative thereafter. Index patients were also regarded as being smear negative if they could no longer produce sputum and continued as such.</w:t>
            </w:r>
          </w:p>
          <w:p w:rsidR="00530514" w:rsidRDefault="00530514" w:rsidP="00A54308"/>
          <w:p w:rsidR="00A54308" w:rsidRDefault="00A54308" w:rsidP="00A54308">
            <w:r w:rsidRPr="004B58B7">
              <w:t xml:space="preserve">Socio Economic Status was derived from the </w:t>
            </w:r>
            <w:proofErr w:type="spellStart"/>
            <w:r w:rsidRPr="004B58B7">
              <w:t>Necesidades</w:t>
            </w:r>
            <w:proofErr w:type="spellEnd"/>
            <w:r w:rsidRPr="004B58B7">
              <w:t xml:space="preserve"> </w:t>
            </w:r>
            <w:proofErr w:type="spellStart"/>
            <w:r w:rsidRPr="004B58B7">
              <w:t>Basicas</w:t>
            </w:r>
            <w:proofErr w:type="spellEnd"/>
            <w:r w:rsidRPr="004B58B7">
              <w:t xml:space="preserve"> </w:t>
            </w:r>
            <w:proofErr w:type="spellStart"/>
            <w:r w:rsidRPr="004B58B7">
              <w:t>Insatisfechas</w:t>
            </w:r>
            <w:proofErr w:type="spellEnd"/>
            <w:r w:rsidRPr="004B58B7">
              <w:t xml:space="preserve"> score, a locally validated scoring system used as part of the Peruvian National Census. This allows distinction to be made between different levels of poverty within a shanty town.</w:t>
            </w:r>
          </w:p>
          <w:p w:rsidR="00A54308" w:rsidRPr="0022554A" w:rsidRDefault="00A54308" w:rsidP="0022554A">
            <w:pPr>
              <w:tabs>
                <w:tab w:val="left" w:pos="5400"/>
              </w:tabs>
              <w:rPr>
                <w:i/>
                <w:sz w:val="20"/>
              </w:rPr>
            </w:pPr>
          </w:p>
        </w:tc>
      </w:tr>
      <w:tr w:rsidR="00191A23" w:rsidRPr="0022554A" w:rsidTr="00BA5CAE">
        <w:tc>
          <w:tcPr>
            <w:tcW w:w="1951" w:type="dxa"/>
          </w:tcPr>
          <w:p w:rsidR="00191A23" w:rsidRPr="0022554A" w:rsidRDefault="00191A23"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lastRenderedPageBreak/>
              <w:t>Bias</w:t>
            </w:r>
          </w:p>
        </w:tc>
        <w:tc>
          <w:tcPr>
            <w:tcW w:w="616" w:type="dxa"/>
          </w:tcPr>
          <w:p w:rsidR="00191A23" w:rsidRPr="0022554A" w:rsidRDefault="00191A23" w:rsidP="0022554A">
            <w:pPr>
              <w:tabs>
                <w:tab w:val="left" w:pos="5400"/>
              </w:tabs>
              <w:jc w:val="center"/>
              <w:rPr>
                <w:sz w:val="20"/>
              </w:rPr>
            </w:pPr>
            <w:r w:rsidRPr="0022554A">
              <w:rPr>
                <w:sz w:val="20"/>
              </w:rPr>
              <w:t>9</w:t>
            </w:r>
          </w:p>
        </w:tc>
        <w:tc>
          <w:tcPr>
            <w:tcW w:w="3070" w:type="dxa"/>
          </w:tcPr>
          <w:p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306" w:type="dxa"/>
          </w:tcPr>
          <w:p w:rsidR="00191A23" w:rsidRPr="0022554A" w:rsidRDefault="00201CA4" w:rsidP="002F7C17">
            <w:pPr>
              <w:tabs>
                <w:tab w:val="left" w:pos="5400"/>
              </w:tabs>
              <w:jc w:val="center"/>
              <w:rPr>
                <w:color w:val="000000"/>
                <w:sz w:val="20"/>
              </w:rPr>
            </w:pPr>
            <w:r>
              <w:rPr>
                <w:color w:val="000000"/>
                <w:sz w:val="20"/>
              </w:rPr>
              <w:t>Methods Paragraph 4</w:t>
            </w:r>
          </w:p>
        </w:tc>
        <w:tc>
          <w:tcPr>
            <w:tcW w:w="8285" w:type="dxa"/>
          </w:tcPr>
          <w:p w:rsidR="00191A23" w:rsidRDefault="002F7C17" w:rsidP="0022554A">
            <w:pPr>
              <w:tabs>
                <w:tab w:val="left" w:pos="5400"/>
              </w:tabs>
            </w:pPr>
            <w:r>
              <w:t>In order to minimize bias, f</w:t>
            </w:r>
            <w:r w:rsidRPr="00BD3A97">
              <w:t xml:space="preserve">or each MDRTB index patient recruited at least two age and sex matched drug susceptible controls were selected at random from the same study site </w:t>
            </w:r>
            <w:r>
              <w:t xml:space="preserve">as the index case </w:t>
            </w:r>
            <w:r w:rsidRPr="00BD3A97">
              <w:t>for comparison.</w:t>
            </w:r>
          </w:p>
          <w:p w:rsidR="003110CA" w:rsidRDefault="003110CA" w:rsidP="0022554A">
            <w:pPr>
              <w:tabs>
                <w:tab w:val="left" w:pos="5400"/>
              </w:tabs>
            </w:pPr>
          </w:p>
          <w:p w:rsidR="003110CA" w:rsidRPr="0022554A" w:rsidRDefault="003110CA" w:rsidP="0022554A">
            <w:pPr>
              <w:tabs>
                <w:tab w:val="left" w:pos="5400"/>
              </w:tabs>
              <w:rPr>
                <w:color w:val="000000"/>
                <w:sz w:val="20"/>
              </w:rPr>
            </w:pPr>
            <w:r>
              <w:t>The final round of active household based follow-up for all families was designed to minimize potential bias from variable follow-up between groups.</w:t>
            </w:r>
          </w:p>
        </w:tc>
      </w:tr>
      <w:tr w:rsidR="00191A23" w:rsidRPr="0022554A" w:rsidTr="00BA5CAE">
        <w:tc>
          <w:tcPr>
            <w:tcW w:w="1951" w:type="dxa"/>
          </w:tcPr>
          <w:p w:rsidR="00191A23" w:rsidRPr="0022554A" w:rsidRDefault="00191A23"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tcPr>
          <w:p w:rsidR="00191A23" w:rsidRPr="0022554A" w:rsidRDefault="00191A23" w:rsidP="0022554A">
            <w:pPr>
              <w:tabs>
                <w:tab w:val="left" w:pos="5400"/>
              </w:tabs>
              <w:jc w:val="center"/>
              <w:rPr>
                <w:sz w:val="20"/>
              </w:rPr>
            </w:pPr>
            <w:r w:rsidRPr="0022554A">
              <w:rPr>
                <w:sz w:val="20"/>
              </w:rPr>
              <w:t>10</w:t>
            </w:r>
          </w:p>
        </w:tc>
        <w:tc>
          <w:tcPr>
            <w:tcW w:w="3070" w:type="dxa"/>
          </w:tcPr>
          <w:p w:rsidR="00191A23" w:rsidRPr="0022554A" w:rsidRDefault="00191A23" w:rsidP="0022554A">
            <w:pPr>
              <w:tabs>
                <w:tab w:val="left" w:pos="5400"/>
              </w:tabs>
              <w:rPr>
                <w:sz w:val="20"/>
              </w:rPr>
            </w:pPr>
            <w:r w:rsidRPr="0022554A">
              <w:rPr>
                <w:sz w:val="20"/>
              </w:rPr>
              <w:t>Explain how the study size was arrived at</w:t>
            </w:r>
          </w:p>
        </w:tc>
        <w:tc>
          <w:tcPr>
            <w:tcW w:w="1306" w:type="dxa"/>
          </w:tcPr>
          <w:p w:rsidR="00191A23" w:rsidRPr="0022554A" w:rsidRDefault="00201CA4" w:rsidP="003110CA">
            <w:pPr>
              <w:tabs>
                <w:tab w:val="left" w:pos="5400"/>
              </w:tabs>
              <w:jc w:val="center"/>
              <w:rPr>
                <w:sz w:val="20"/>
              </w:rPr>
            </w:pPr>
            <w:r>
              <w:rPr>
                <w:sz w:val="20"/>
              </w:rPr>
              <w:t>Methods Paragraph 2</w:t>
            </w:r>
          </w:p>
        </w:tc>
        <w:tc>
          <w:tcPr>
            <w:tcW w:w="8285" w:type="dxa"/>
          </w:tcPr>
          <w:p w:rsidR="00191A23" w:rsidRPr="0022554A" w:rsidRDefault="003110CA" w:rsidP="0022554A">
            <w:pPr>
              <w:tabs>
                <w:tab w:val="left" w:pos="5400"/>
              </w:tabs>
              <w:rPr>
                <w:sz w:val="20"/>
              </w:rPr>
            </w:pPr>
            <w:r>
              <w:t>Incidence rates of tuberculosi</w:t>
            </w:r>
            <w:r w:rsidR="0010065D">
              <w:t>s disease from previous studies</w:t>
            </w:r>
            <w:r>
              <w:t xml:space="preserve"> </w:t>
            </w:r>
            <w:r w:rsidR="0006417F">
              <w:fldChar w:fldCharType="begin"/>
            </w:r>
            <w:r w:rsidR="0010065D">
              <w:instrText xml:space="preserve"> ADDIN ZOTERO_ITEM CSL_CITATION {"citationID":"dgheoc3jd","properties":{"formattedCitation":"[17,18]","plainCitation":"[17,18]"},"citationItems":[{"id":5,"uris":["http://zotero.org/users/local/5N2pAhfg/items/69CQXMTQ"],"uri":["http://zotero.org/users/local/5N2pAhfg/items/69CQXMTQ"],"itemData":{"id":5,"type":"article-journal","title":"Tuberculosis and latent tuberculosis infection in close contacts of people with pulmonary tuberculosis in low-income and middle-income countries: a systematic review and meta-analysis","container-title":"The Lancet. Infectious Diseases","page":"359-368","volume":"8","issue":"6","source":"NCBI PubMed","abstract":"Investigation of people exposed to cases of infectious tuberculosis (contact investigation) is key to tuberculosis control in countries with low tuberculosis incidence. However, in countries in which the incidence of tuberculosis is high, contact investigation is not commonly done. Increasing concerns about the failure to meet case-detection targets and about the spread of drug-resistant Mycobacterium tuberculosis have prompted a reassessment of the potential benefits of contact investigation. We did a systematic review to determine the yield of household contact investigation. The yield for all tuberculosis (bacteriologically confirmed and clinically diagnosed) was 4.5% (95% CI 4.3-4.8, I(2)=95.5%) of contacts investigated; for cases with bacteriological confirmation the yield was 2.3% (95% CI 2.1-2.5, I(2)=96.6%). Latent tuberculosis infection was found in 51.4% (95% CI 50.6-52.2, I(2)=99.4%) of contacts investigated. The substantial heterogeneity in all analyses indicated high variability among studies that was not accounted for by subgroup analyses. These results suggest that contact investigation merits serious consideration as a means to improve early case detection and decrease transmission of M tuberculosis in high-incidence areas.","DOI":"10.1016/S1473-3099(08)70071-9","ISSN":"1473-3099","note":"PMID: 18450516","shortTitle":"Tuberculosis and latent tuberculosis infection in close contacts of people with pulmonary tuberculosis in low-income and middle-income countries","journalAbbreviation":"Lancet Infect Dis","language":"eng","author":[{"family":"Morrison","given":"Janina"},{"family":"Pai","given":"Madhukar"},{"family":"Hopewell","given":"Philip C."}],"issued":{"date-parts":[["2008",6]]},"PMID":"18450516"}},{"id":3,"uris":["http://zotero.org/users/local/5N2pAhfg/items/KVERMFS3"],"uri":["http://zotero.org/users/local/5N2pAhfg/items/KVERMFS3"],"itemData":{"id":3,"type":"article-journal","title":"Tuberculosis in household contacts of multidrug-resistant tuberculosis patients","container-title":"The International Journal of Tuberculosis and Lung Disease: The Official Journal of the International Union Against Tuberculosis and Lung Disease","page":"1164-1169, i","volume":"15","issue":"9","source":"NCBI PubMed","abstract":"SETTING: The burden of tuberculosis (TB) disease among household contacts of multidrug-resistant TB (MDR-TB) patients is poorly understood and might represent a target for transmission-interrupting interventions.\nDESIGN: This retrospective cohort study, conducted in Lima, Peru, from June to September 2008, estimated the incidence of TB disease among household contacts of MDR-TB patients in 358 households.\nRESULTS: Of 2112 household contacts in 80 households (22% of households), 108 (5%) developed TB disease during the study, giving an incidence rate of 2360 per 100 000 contact follow-up years for each of the first 3 years after exposure. Drug susceptibility tests (DST) were available for 50 diseased contacts, of whom 36 (80%) had MDR-TB. Forty-two pairs of index-contact DSTs were available, among which the contact had an identical or less resistant phenotype than the index case in 27 pairs. Multivariate Cox regression demonstrated that male contacts (hazard ratio [HR] 2.8, P &lt; 0.05), with previous TB disease (HR 20.7, P &lt; 0.001) and with associated (non-human immunodeficiency virus) comorbidities (HR 11.2, P &lt; 0.001) were more likely to develop TB.\nCONCLUSION: The high percentage of diseased household contacts highlights an opportunity for household-level interventions to prevent transmission, whether or not these cases were all attributable to the index case.","DOI":"10.5588/ijtld.11.0030","ISSN":"1815-7920","note":"PMID: 21943839","journalAbbreviation":"Int. J. Tuberc. Lung Dis.","language":"eng","author":[{"family":"Grandjean","given":"L."},{"family":"Crossa","given":"A."},{"family":"Gilman","given":"R. H."},{"family":"Herrera","given":"C."},{"family":"Bonilla","given":"C."},{"family":"Jave","given":"O."},{"family":"Cabrera","given":"J. L."},{"family":"Martin","given":"L."},{"family":"Escombe","given":"A. R."},{"family":"Moore","given":"D. a. J."}],"issued":{"date-parts":[["2011",9]]},"PMID":"21943839"}}],"schema":"https://github.com/citation-style-language/schema/raw/master/csl-citation.json"} </w:instrText>
            </w:r>
            <w:r w:rsidR="0006417F">
              <w:fldChar w:fldCharType="separate"/>
            </w:r>
            <w:r w:rsidR="0010065D" w:rsidRPr="004E4F7E">
              <w:rPr>
                <w:rFonts w:ascii="Calibri" w:hAnsi="Calibri"/>
              </w:rPr>
              <w:t>[17,18]</w:t>
            </w:r>
            <w:r w:rsidR="0006417F">
              <w:fldChar w:fldCharType="end"/>
            </w:r>
            <w:r w:rsidR="0010065D">
              <w:t xml:space="preserve"> </w:t>
            </w:r>
            <w:r>
              <w:t xml:space="preserve">were used to perform a power calculation to determine the sample size for a detectable alternative hazard ratio with a power of 0.8. A minimum MDRTB contact sample size of 800 with 1600 drug susceptible contacts (a 2:1 ratio) was determined to yield a significant difference between the two groups (two-tailed p&lt;0.05) with a hazard ratio </w:t>
            </w:r>
            <w:r w:rsidRPr="005E40F1">
              <w:t>≤</w:t>
            </w:r>
            <w:r>
              <w:t>0.6.</w:t>
            </w:r>
          </w:p>
        </w:tc>
      </w:tr>
    </w:tbl>
    <w:p w:rsidR="00191A23" w:rsidRDefault="00191A23">
      <w:bookmarkStart w:id="40" w:name="bold22"/>
      <w:bookmarkStart w:id="41" w:name="italic22"/>
      <w:bookmarkEnd w:id="38"/>
      <w:bookmarkEnd w:id="39"/>
      <w:r w:rsidRPr="004A32C8">
        <w:rPr>
          <w:sz w:val="16"/>
          <w:szCs w:val="16"/>
        </w:rPr>
        <w:t>Continued on next page</w:t>
      </w:r>
      <w:r>
        <w:t xml:space="preserve"> </w:t>
      </w:r>
      <w:r>
        <w:br w:type="page"/>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9"/>
        <w:gridCol w:w="748"/>
        <w:gridCol w:w="4629"/>
        <w:gridCol w:w="1027"/>
        <w:gridCol w:w="7069"/>
      </w:tblGrid>
      <w:tr w:rsidR="00191A23" w:rsidRPr="0022554A" w:rsidTr="003110CA">
        <w:tc>
          <w:tcPr>
            <w:tcW w:w="1521" w:type="dxa"/>
          </w:tcPr>
          <w:p w:rsidR="00191A23" w:rsidRPr="0022554A" w:rsidRDefault="00191A23" w:rsidP="00191A23">
            <w:pPr>
              <w:tabs>
                <w:tab w:val="left" w:pos="5400"/>
              </w:tabs>
              <w:rPr>
                <w:bCs/>
                <w:sz w:val="20"/>
              </w:rPr>
            </w:pPr>
            <w:r w:rsidRPr="0022554A">
              <w:rPr>
                <w:bCs/>
                <w:sz w:val="20"/>
              </w:rPr>
              <w:lastRenderedPageBreak/>
              <w:t>Quantitative</w:t>
            </w:r>
            <w:bookmarkStart w:id="42" w:name="bold23"/>
            <w:bookmarkStart w:id="43" w:name="italic23"/>
            <w:bookmarkEnd w:id="40"/>
            <w:bookmarkEnd w:id="41"/>
            <w:r w:rsidRPr="0022554A">
              <w:rPr>
                <w:bCs/>
                <w:sz w:val="20"/>
              </w:rPr>
              <w:t xml:space="preserve"> variables</w:t>
            </w:r>
            <w:bookmarkEnd w:id="42"/>
            <w:bookmarkEnd w:id="43"/>
          </w:p>
        </w:tc>
        <w:tc>
          <w:tcPr>
            <w:tcW w:w="749" w:type="dxa"/>
          </w:tcPr>
          <w:p w:rsidR="00191A23" w:rsidRPr="0022554A" w:rsidRDefault="00191A23" w:rsidP="00191A23">
            <w:pPr>
              <w:tabs>
                <w:tab w:val="left" w:pos="5400"/>
              </w:tabs>
              <w:jc w:val="center"/>
              <w:rPr>
                <w:sz w:val="20"/>
              </w:rPr>
            </w:pPr>
            <w:r w:rsidRPr="0022554A">
              <w:rPr>
                <w:sz w:val="20"/>
              </w:rPr>
              <w:t>11</w:t>
            </w:r>
          </w:p>
        </w:tc>
        <w:tc>
          <w:tcPr>
            <w:tcW w:w="4642" w:type="dxa"/>
          </w:tcPr>
          <w:p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993" w:type="dxa"/>
          </w:tcPr>
          <w:p w:rsidR="00191A23" w:rsidRDefault="00201CA4" w:rsidP="00D244DE">
            <w:pPr>
              <w:tabs>
                <w:tab w:val="left" w:pos="5400"/>
              </w:tabs>
              <w:jc w:val="center"/>
              <w:rPr>
                <w:sz w:val="20"/>
              </w:rPr>
            </w:pPr>
            <w:r>
              <w:rPr>
                <w:sz w:val="20"/>
              </w:rPr>
              <w:t>Methods Paragraph 4</w:t>
            </w:r>
          </w:p>
          <w:p w:rsidR="001F2F5A" w:rsidRDefault="001F2F5A" w:rsidP="00D244DE">
            <w:pPr>
              <w:tabs>
                <w:tab w:val="left" w:pos="5400"/>
              </w:tabs>
              <w:jc w:val="center"/>
              <w:rPr>
                <w:sz w:val="20"/>
              </w:rPr>
            </w:pPr>
          </w:p>
          <w:p w:rsidR="001F2F5A" w:rsidRPr="0022554A" w:rsidRDefault="001F2F5A" w:rsidP="00D244DE">
            <w:pPr>
              <w:tabs>
                <w:tab w:val="left" w:pos="5400"/>
              </w:tabs>
              <w:jc w:val="center"/>
              <w:rPr>
                <w:sz w:val="20"/>
              </w:rPr>
            </w:pPr>
            <w:r>
              <w:rPr>
                <w:sz w:val="20"/>
              </w:rPr>
              <w:t>And Table 1</w:t>
            </w:r>
          </w:p>
        </w:tc>
        <w:tc>
          <w:tcPr>
            <w:tcW w:w="7087" w:type="dxa"/>
          </w:tcPr>
          <w:p w:rsidR="00191A23" w:rsidRDefault="00D244DE" w:rsidP="00191A23">
            <w:pPr>
              <w:tabs>
                <w:tab w:val="left" w:pos="5400"/>
              </w:tabs>
            </w:pPr>
            <w:r w:rsidRPr="004B58B7">
              <w:t xml:space="preserve">Socio Economic Status was derived from the </w:t>
            </w:r>
            <w:proofErr w:type="spellStart"/>
            <w:r w:rsidRPr="004B58B7">
              <w:t>Necesidades</w:t>
            </w:r>
            <w:proofErr w:type="spellEnd"/>
            <w:r w:rsidRPr="004B58B7">
              <w:t xml:space="preserve"> </w:t>
            </w:r>
            <w:proofErr w:type="spellStart"/>
            <w:r w:rsidRPr="004B58B7">
              <w:t>Basicas</w:t>
            </w:r>
            <w:proofErr w:type="spellEnd"/>
            <w:r w:rsidRPr="004B58B7">
              <w:t xml:space="preserve"> </w:t>
            </w:r>
            <w:proofErr w:type="spellStart"/>
            <w:r w:rsidRPr="004B58B7">
              <w:t>Insatisfechas</w:t>
            </w:r>
            <w:proofErr w:type="spellEnd"/>
            <w:r w:rsidRPr="004B58B7">
              <w:t xml:space="preserve"> score, a locally validated scoring system used as part of the Peruvian National Census. This allows distinction to be made between different levels of poverty within a shanty town.</w:t>
            </w:r>
          </w:p>
          <w:p w:rsidR="007E70E2" w:rsidRDefault="007E70E2" w:rsidP="00191A23">
            <w:pPr>
              <w:tabs>
                <w:tab w:val="left" w:pos="5400"/>
              </w:tabs>
            </w:pPr>
          </w:p>
          <w:p w:rsidR="007E70E2" w:rsidRPr="0022554A" w:rsidRDefault="007E70E2" w:rsidP="00191A23">
            <w:pPr>
              <w:tabs>
                <w:tab w:val="left" w:pos="5400"/>
              </w:tabs>
              <w:rPr>
                <w:sz w:val="20"/>
              </w:rPr>
            </w:pPr>
            <w:r>
              <w:t>All variables had been designed and field tested during the preliminary retrospective study</w:t>
            </w:r>
            <w:r w:rsidR="0010065D">
              <w:t xml:space="preserve"> [18].</w:t>
            </w:r>
          </w:p>
        </w:tc>
      </w:tr>
      <w:tr w:rsidR="00191A23" w:rsidRPr="0022554A" w:rsidTr="003110CA">
        <w:tc>
          <w:tcPr>
            <w:tcW w:w="1521" w:type="dxa"/>
            <w:vMerge w:val="restart"/>
          </w:tcPr>
          <w:p w:rsidR="00191A23" w:rsidRPr="0022554A" w:rsidRDefault="00191A23"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rsidR="00191A23" w:rsidRPr="0022554A" w:rsidRDefault="00191A23" w:rsidP="00191A23">
            <w:pPr>
              <w:tabs>
                <w:tab w:val="left" w:pos="5400"/>
              </w:tabs>
              <w:jc w:val="center"/>
              <w:rPr>
                <w:sz w:val="20"/>
              </w:rPr>
            </w:pPr>
            <w:r w:rsidRPr="0022554A">
              <w:rPr>
                <w:sz w:val="20"/>
              </w:rPr>
              <w:t>12</w:t>
            </w:r>
          </w:p>
        </w:tc>
        <w:tc>
          <w:tcPr>
            <w:tcW w:w="4642" w:type="dxa"/>
          </w:tcPr>
          <w:p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993" w:type="dxa"/>
          </w:tcPr>
          <w:p w:rsidR="00191A23" w:rsidRPr="0022554A" w:rsidRDefault="00201CA4" w:rsidP="00D244DE">
            <w:pPr>
              <w:tabs>
                <w:tab w:val="left" w:pos="5400"/>
              </w:tabs>
              <w:jc w:val="center"/>
              <w:rPr>
                <w:sz w:val="20"/>
              </w:rPr>
            </w:pPr>
            <w:r>
              <w:rPr>
                <w:sz w:val="20"/>
              </w:rPr>
              <w:t>Methods Paragraph 10</w:t>
            </w:r>
          </w:p>
        </w:tc>
        <w:tc>
          <w:tcPr>
            <w:tcW w:w="7087" w:type="dxa"/>
          </w:tcPr>
          <w:p w:rsidR="0012460A" w:rsidRPr="00B0445B" w:rsidRDefault="0012460A" w:rsidP="0012460A">
            <w:pPr>
              <w:rPr>
                <w:color w:val="FF0000"/>
              </w:rPr>
            </w:pPr>
            <w:r w:rsidRPr="00BD3A97">
              <w:t xml:space="preserve">Independent predictors of second cases were determined using a multivariate Cox regression survival analysis clustered at the level of the household. </w:t>
            </w:r>
            <w:r>
              <w:t xml:space="preserve">Each variable was tested for potential violation of the proportional hazards assumption by minus log-log plots and examination of the </w:t>
            </w:r>
            <w:proofErr w:type="spellStart"/>
            <w:r>
              <w:t>Schoenfeld</w:t>
            </w:r>
            <w:proofErr w:type="spellEnd"/>
            <w:r>
              <w:t xml:space="preserve"> residuals. </w:t>
            </w:r>
            <w:r w:rsidRPr="00312EDB">
              <w:rPr>
                <w:rFonts w:asciiTheme="minorHAnsi" w:hAnsiTheme="minorHAnsi"/>
                <w:szCs w:val="24"/>
              </w:rPr>
              <w:t xml:space="preserve">Correction for clustering was undertaken at the level of the household to account for the correlation of variance within households. The </w:t>
            </w:r>
            <w:r>
              <w:t xml:space="preserve">clustering </w:t>
            </w:r>
            <w:r w:rsidRPr="00312EDB">
              <w:rPr>
                <w:rFonts w:asciiTheme="minorHAnsi" w:hAnsiTheme="minorHAnsi"/>
                <w:szCs w:val="24"/>
              </w:rPr>
              <w:t xml:space="preserve">method used was to employ the STATA cluster </w:t>
            </w:r>
            <w:proofErr w:type="spellStart"/>
            <w:r w:rsidRPr="00312EDB">
              <w:rPr>
                <w:rFonts w:asciiTheme="minorHAnsi" w:hAnsiTheme="minorHAnsi"/>
                <w:szCs w:val="24"/>
              </w:rPr>
              <w:t>clustvar</w:t>
            </w:r>
            <w:proofErr w:type="spellEnd"/>
            <w:r w:rsidRPr="00312EDB">
              <w:rPr>
                <w:rFonts w:asciiTheme="minorHAnsi" w:hAnsiTheme="minorHAnsi"/>
                <w:szCs w:val="24"/>
              </w:rPr>
              <w:t xml:space="preserve"> command to provide a robust estimate of the standard error according to the Huber/White/Sandwich estimate of variance</w:t>
            </w:r>
            <w:r>
              <w:t xml:space="preserve"> </w:t>
            </w:r>
            <w:r w:rsidR="0006417F">
              <w:fldChar w:fldCharType="begin"/>
            </w:r>
            <w:r>
              <w:instrText xml:space="preserve"> ADDIN ZOTERO_ITEM CSL_CITATION {"citationID":"h4foaeg0n","properties":{"formattedCitation":"[23]","plainCitation":"[23]"},"citationItems":[{"id":18,"uris":["http://zotero.org/users/local/5N2pAhfg/items/SDU6BGXJ"],"uri":["http://zotero.org/users/local/5N2pAhfg/items/SDU6BGXJ"],"itemData":{"id":18,"type":"article-journal","title":"Regression standard errors in clustered samples.","container-title":"Stata Technical Bulletin","page":"19-23","volume":"13","author":[{"family":"Rogers","given":"W. H."}],"issued":{"date-parts":[["1993"]]}}}],"schema":"https://github.com/citation-style-language/schema/raw/master/csl-citation.json"} </w:instrText>
            </w:r>
            <w:r w:rsidR="0006417F">
              <w:fldChar w:fldCharType="separate"/>
            </w:r>
            <w:r w:rsidRPr="00312EDB">
              <w:rPr>
                <w:rFonts w:ascii="Calibri" w:hAnsi="Calibri"/>
              </w:rPr>
              <w:t>[23]</w:t>
            </w:r>
            <w:r w:rsidR="0006417F">
              <w:fldChar w:fldCharType="end"/>
            </w:r>
            <w:r>
              <w:t xml:space="preserve">. Known confounding </w:t>
            </w:r>
            <w:r w:rsidRPr="00BD3A97">
              <w:t xml:space="preserve">variables </w:t>
            </w:r>
            <w:r>
              <w:t>identified a-priori (specifically HIV status of contacts, contact age, contact sex, sputum smear status of the index case and socio-economic status) together with variables which were found to be</w:t>
            </w:r>
            <w:r w:rsidRPr="00BD3A97">
              <w:t xml:space="preserve"> p&lt;0</w:t>
            </w:r>
            <w:r w:rsidRPr="00BD3A97">
              <w:rPr>
                <w:rFonts w:ascii="Calibri" w:hAnsi="Calibri"/>
              </w:rPr>
              <w:t>·</w:t>
            </w:r>
            <w:r w:rsidRPr="00BD3A97">
              <w:t xml:space="preserve">2 on </w:t>
            </w:r>
            <w:proofErr w:type="spellStart"/>
            <w:r w:rsidRPr="00BD3A97">
              <w:t>univariate</w:t>
            </w:r>
            <w:proofErr w:type="spellEnd"/>
            <w:r w:rsidRPr="00BD3A97">
              <w:t xml:space="preserve"> analysis were included in the multivariate regression</w:t>
            </w:r>
            <w:r>
              <w:t xml:space="preserve"> and biologically plausible interactions were also examined for significance. </w:t>
            </w:r>
            <w:r w:rsidRPr="00BD3A97">
              <w:t>A p-value of &lt;0</w:t>
            </w:r>
            <w:r w:rsidRPr="00BD3A97">
              <w:rPr>
                <w:rFonts w:ascii="Calibri" w:hAnsi="Calibri"/>
              </w:rPr>
              <w:t>·</w:t>
            </w:r>
            <w:r w:rsidRPr="00BD3A97">
              <w:t xml:space="preserve">05 was considered statistically significant in the multivariate regression. Analysis was undertaken using </w:t>
            </w:r>
            <w:proofErr w:type="spellStart"/>
            <w:r w:rsidRPr="00BD3A97">
              <w:t>Stata</w:t>
            </w:r>
            <w:proofErr w:type="spellEnd"/>
            <w:r w:rsidRPr="00BD3A97">
              <w:t xml:space="preserve"> (</w:t>
            </w:r>
            <w:proofErr w:type="spellStart"/>
            <w:r w:rsidRPr="00BD3A97">
              <w:t>StataCorp</w:t>
            </w:r>
            <w:proofErr w:type="spellEnd"/>
            <w:r w:rsidRPr="00BD3A97">
              <w:t xml:space="preserve">. 2009. </w:t>
            </w:r>
            <w:proofErr w:type="spellStart"/>
            <w:r w:rsidRPr="00BD3A97">
              <w:rPr>
                <w:i/>
                <w:iCs/>
              </w:rPr>
              <w:t>Stata</w:t>
            </w:r>
            <w:proofErr w:type="spellEnd"/>
            <w:r w:rsidRPr="00BD3A97">
              <w:rPr>
                <w:i/>
                <w:iCs/>
              </w:rPr>
              <w:t xml:space="preserve"> Statistical Software: Release 11</w:t>
            </w:r>
            <w:r w:rsidRPr="00BD3A97">
              <w:t xml:space="preserve">. College Station, TX: </w:t>
            </w:r>
            <w:proofErr w:type="spellStart"/>
            <w:r w:rsidRPr="00BD3A97">
              <w:t>StataCorp</w:t>
            </w:r>
            <w:proofErr w:type="spellEnd"/>
            <w:r w:rsidRPr="00BD3A97">
              <w:t xml:space="preserve"> LP).</w:t>
            </w:r>
            <w:r>
              <w:t xml:space="preserve"> The pre-planned analysis did not differ from the final analysis other than consideration of the potentially confounding association of index case genotype and second cases of tuberculosis disease which was undertaken after </w:t>
            </w:r>
            <w:proofErr w:type="gramStart"/>
            <w:r>
              <w:t>reviewers</w:t>
            </w:r>
            <w:proofErr w:type="gramEnd"/>
            <w:r>
              <w:t xml:space="preserve"> comments. </w:t>
            </w:r>
          </w:p>
          <w:p w:rsidR="00191A23" w:rsidRPr="00D244DE" w:rsidRDefault="00191A23" w:rsidP="00191A23">
            <w:pPr>
              <w:tabs>
                <w:tab w:val="left" w:pos="5400"/>
              </w:tabs>
            </w:pPr>
          </w:p>
        </w:tc>
      </w:tr>
      <w:tr w:rsidR="00191A23" w:rsidRPr="0022554A" w:rsidTr="003110CA">
        <w:tc>
          <w:tcPr>
            <w:tcW w:w="1521" w:type="dxa"/>
            <w:vMerge/>
          </w:tcPr>
          <w:p w:rsidR="00191A23" w:rsidRPr="0022554A" w:rsidRDefault="00191A23" w:rsidP="00191A23">
            <w:pPr>
              <w:tabs>
                <w:tab w:val="left" w:pos="5400"/>
              </w:tabs>
              <w:rPr>
                <w:bCs/>
                <w:sz w:val="20"/>
              </w:rPr>
            </w:pPr>
            <w:bookmarkStart w:id="46" w:name="bold24" w:colFirst="0" w:colLast="0"/>
            <w:bookmarkStart w:id="47" w:name="italic26" w:colFirst="0" w:colLast="0"/>
          </w:p>
        </w:tc>
        <w:tc>
          <w:tcPr>
            <w:tcW w:w="749" w:type="dxa"/>
            <w:vMerge/>
          </w:tcPr>
          <w:p w:rsidR="00191A23" w:rsidRPr="0022554A" w:rsidRDefault="00191A23" w:rsidP="00191A23">
            <w:pPr>
              <w:tabs>
                <w:tab w:val="left" w:pos="5400"/>
              </w:tabs>
              <w:jc w:val="center"/>
              <w:rPr>
                <w:sz w:val="20"/>
              </w:rPr>
            </w:pPr>
          </w:p>
        </w:tc>
        <w:tc>
          <w:tcPr>
            <w:tcW w:w="4642" w:type="dxa"/>
          </w:tcPr>
          <w:p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xml:space="preserve">) Describe any methods used to examine subgroups </w:t>
            </w:r>
            <w:r w:rsidRPr="0022554A">
              <w:rPr>
                <w:sz w:val="20"/>
              </w:rPr>
              <w:lastRenderedPageBreak/>
              <w:t>and interactions</w:t>
            </w:r>
          </w:p>
        </w:tc>
        <w:tc>
          <w:tcPr>
            <w:tcW w:w="993" w:type="dxa"/>
          </w:tcPr>
          <w:p w:rsidR="00191A23" w:rsidRPr="0022554A" w:rsidRDefault="005B4506" w:rsidP="00D244DE">
            <w:pPr>
              <w:tabs>
                <w:tab w:val="left" w:pos="5400"/>
              </w:tabs>
              <w:jc w:val="center"/>
              <w:rPr>
                <w:sz w:val="20"/>
              </w:rPr>
            </w:pPr>
            <w:r>
              <w:rPr>
                <w:sz w:val="20"/>
              </w:rPr>
              <w:lastRenderedPageBreak/>
              <w:t xml:space="preserve">Methods </w:t>
            </w:r>
            <w:r>
              <w:rPr>
                <w:sz w:val="20"/>
              </w:rPr>
              <w:lastRenderedPageBreak/>
              <w:t>Paragraph 10</w:t>
            </w:r>
          </w:p>
        </w:tc>
        <w:tc>
          <w:tcPr>
            <w:tcW w:w="7087" w:type="dxa"/>
          </w:tcPr>
          <w:p w:rsidR="00191A23" w:rsidRPr="0022554A" w:rsidRDefault="00201CA4" w:rsidP="00191A23">
            <w:pPr>
              <w:tabs>
                <w:tab w:val="left" w:pos="5400"/>
              </w:tabs>
              <w:rPr>
                <w:sz w:val="20"/>
              </w:rPr>
            </w:pPr>
            <w:r>
              <w:lastRenderedPageBreak/>
              <w:t xml:space="preserve">The interactions between age and chemotherapy use, diabetes and </w:t>
            </w:r>
            <w:r>
              <w:lastRenderedPageBreak/>
              <w:t>index drug resistance, socio-economic status and sputum smear grade, contact employment and socio-economic status as well as index case genotype and index case drug resistance status were all examined for significance in predicting second household cases of disease.</w:t>
            </w:r>
          </w:p>
        </w:tc>
      </w:tr>
      <w:tr w:rsidR="00191A23" w:rsidRPr="0022554A" w:rsidTr="003110CA">
        <w:tc>
          <w:tcPr>
            <w:tcW w:w="1521" w:type="dxa"/>
            <w:vMerge/>
          </w:tcPr>
          <w:p w:rsidR="00191A23" w:rsidRPr="0022554A" w:rsidRDefault="00191A23" w:rsidP="00191A23">
            <w:pPr>
              <w:tabs>
                <w:tab w:val="left" w:pos="5400"/>
              </w:tabs>
              <w:rPr>
                <w:bCs/>
                <w:sz w:val="20"/>
              </w:rPr>
            </w:pPr>
            <w:bookmarkStart w:id="48" w:name="bold25" w:colFirst="0" w:colLast="0"/>
            <w:bookmarkStart w:id="49" w:name="italic27" w:colFirst="0" w:colLast="0"/>
            <w:bookmarkEnd w:id="46"/>
            <w:bookmarkEnd w:id="47"/>
          </w:p>
        </w:tc>
        <w:tc>
          <w:tcPr>
            <w:tcW w:w="749" w:type="dxa"/>
            <w:vMerge/>
          </w:tcPr>
          <w:p w:rsidR="00191A23" w:rsidRPr="0022554A" w:rsidRDefault="00191A23" w:rsidP="00191A23">
            <w:pPr>
              <w:tabs>
                <w:tab w:val="left" w:pos="5400"/>
              </w:tabs>
              <w:jc w:val="center"/>
              <w:rPr>
                <w:sz w:val="20"/>
              </w:rPr>
            </w:pPr>
          </w:p>
        </w:tc>
        <w:tc>
          <w:tcPr>
            <w:tcW w:w="4642" w:type="dxa"/>
          </w:tcPr>
          <w:p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993" w:type="dxa"/>
          </w:tcPr>
          <w:p w:rsidR="00191A23" w:rsidRPr="0022554A" w:rsidRDefault="00250E70" w:rsidP="00191A23">
            <w:pPr>
              <w:tabs>
                <w:tab w:val="left" w:pos="5400"/>
              </w:tabs>
              <w:rPr>
                <w:sz w:val="20"/>
              </w:rPr>
            </w:pPr>
            <w:r>
              <w:rPr>
                <w:sz w:val="20"/>
              </w:rPr>
              <w:t>Methods Paragraph 8</w:t>
            </w:r>
          </w:p>
        </w:tc>
        <w:tc>
          <w:tcPr>
            <w:tcW w:w="7087" w:type="dxa"/>
          </w:tcPr>
          <w:p w:rsidR="00191A23" w:rsidRPr="0022554A" w:rsidRDefault="000F43E0" w:rsidP="000F43E0">
            <w:pPr>
              <w:tabs>
                <w:tab w:val="left" w:pos="5400"/>
              </w:tabs>
              <w:rPr>
                <w:sz w:val="20"/>
              </w:rPr>
            </w:pPr>
            <w:r w:rsidRPr="000F43E0">
              <w:t xml:space="preserve">Missing data was minimized by revisiting household and health centres and cross checking interview </w:t>
            </w:r>
            <w:r w:rsidR="0061575F">
              <w:t>data against medical records.  M</w:t>
            </w:r>
            <w:r>
              <w:t xml:space="preserve">issing values were </w:t>
            </w:r>
            <w:r w:rsidR="0061575F">
              <w:t xml:space="preserve">then </w:t>
            </w:r>
            <w:r>
              <w:t>treated as "missing at random"</w:t>
            </w:r>
            <w:r w:rsidR="00341446">
              <w:t xml:space="preserve"> using</w:t>
            </w:r>
            <w:r w:rsidR="0061575F">
              <w:t xml:space="preserve"> </w:t>
            </w:r>
            <w:proofErr w:type="spellStart"/>
            <w:r w:rsidR="0061575F">
              <w:t>Stata's</w:t>
            </w:r>
            <w:proofErr w:type="spellEnd"/>
            <w:r w:rsidR="0061575F">
              <w:t xml:space="preserve"> default "</w:t>
            </w:r>
            <w:proofErr w:type="spellStart"/>
            <w:r w:rsidR="0061575F">
              <w:t>listwise</w:t>
            </w:r>
            <w:proofErr w:type="spellEnd"/>
            <w:r w:rsidR="0061575F">
              <w:t>" deletion when included in multivariate regression analysis.</w:t>
            </w:r>
            <w:r>
              <w:rPr>
                <w:sz w:val="20"/>
              </w:rPr>
              <w:t xml:space="preserve">  </w:t>
            </w:r>
          </w:p>
        </w:tc>
      </w:tr>
      <w:tr w:rsidR="00191A23" w:rsidRPr="0022554A" w:rsidTr="003110CA">
        <w:tc>
          <w:tcPr>
            <w:tcW w:w="1521" w:type="dxa"/>
            <w:vMerge/>
          </w:tcPr>
          <w:p w:rsidR="00191A23" w:rsidRPr="0022554A" w:rsidRDefault="00191A23" w:rsidP="00191A23">
            <w:pPr>
              <w:tabs>
                <w:tab w:val="left" w:pos="5400"/>
              </w:tabs>
              <w:rPr>
                <w:bCs/>
                <w:sz w:val="20"/>
              </w:rPr>
            </w:pPr>
            <w:bookmarkStart w:id="50" w:name="bold26" w:colFirst="0" w:colLast="0"/>
            <w:bookmarkStart w:id="51" w:name="italic28" w:colFirst="0" w:colLast="0"/>
            <w:bookmarkEnd w:id="48"/>
            <w:bookmarkEnd w:id="49"/>
          </w:p>
        </w:tc>
        <w:tc>
          <w:tcPr>
            <w:tcW w:w="749" w:type="dxa"/>
            <w:vMerge/>
          </w:tcPr>
          <w:p w:rsidR="00191A23" w:rsidRPr="0022554A" w:rsidRDefault="00191A23" w:rsidP="00191A23">
            <w:pPr>
              <w:tabs>
                <w:tab w:val="left" w:pos="5400"/>
              </w:tabs>
              <w:jc w:val="center"/>
              <w:rPr>
                <w:sz w:val="20"/>
              </w:rPr>
            </w:pPr>
          </w:p>
        </w:tc>
        <w:tc>
          <w:tcPr>
            <w:tcW w:w="4642" w:type="dxa"/>
          </w:tcPr>
          <w:p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993" w:type="dxa"/>
          </w:tcPr>
          <w:p w:rsidR="00191A23" w:rsidRPr="0022554A" w:rsidRDefault="005B4506" w:rsidP="003110CA">
            <w:pPr>
              <w:tabs>
                <w:tab w:val="left" w:pos="5400"/>
              </w:tabs>
              <w:jc w:val="center"/>
              <w:rPr>
                <w:sz w:val="20"/>
              </w:rPr>
            </w:pPr>
            <w:r>
              <w:rPr>
                <w:sz w:val="20"/>
              </w:rPr>
              <w:t>Methods Paragraph 8</w:t>
            </w:r>
          </w:p>
        </w:tc>
        <w:tc>
          <w:tcPr>
            <w:tcW w:w="7087" w:type="dxa"/>
          </w:tcPr>
          <w:p w:rsidR="00191A23" w:rsidRPr="0022554A" w:rsidRDefault="003110CA" w:rsidP="00191A23">
            <w:pPr>
              <w:tabs>
                <w:tab w:val="left" w:pos="5400"/>
              </w:tabs>
              <w:rPr>
                <w:sz w:val="20"/>
              </w:rPr>
            </w:pPr>
            <w:r w:rsidRPr="00BD3A97">
              <w:t>Contacts were censured (follow up stopped) if they were lost to follow-up or died</w:t>
            </w:r>
            <w:r w:rsidR="00E33D4E">
              <w:t>.</w:t>
            </w:r>
          </w:p>
        </w:tc>
      </w:tr>
      <w:tr w:rsidR="00191A23" w:rsidRPr="0022554A" w:rsidTr="003110CA">
        <w:tc>
          <w:tcPr>
            <w:tcW w:w="1521" w:type="dxa"/>
            <w:vMerge/>
          </w:tcPr>
          <w:p w:rsidR="00191A23" w:rsidRPr="0022554A" w:rsidRDefault="00191A23" w:rsidP="00191A23">
            <w:pPr>
              <w:tabs>
                <w:tab w:val="left" w:pos="5400"/>
              </w:tabs>
              <w:rPr>
                <w:bCs/>
                <w:sz w:val="20"/>
              </w:rPr>
            </w:pPr>
            <w:bookmarkStart w:id="52" w:name="bold27" w:colFirst="0" w:colLast="0"/>
            <w:bookmarkStart w:id="53" w:name="italic29" w:colFirst="0" w:colLast="0"/>
            <w:bookmarkEnd w:id="50"/>
            <w:bookmarkEnd w:id="51"/>
          </w:p>
        </w:tc>
        <w:tc>
          <w:tcPr>
            <w:tcW w:w="749" w:type="dxa"/>
            <w:vMerge/>
          </w:tcPr>
          <w:p w:rsidR="00191A23" w:rsidRPr="0022554A" w:rsidRDefault="00191A23" w:rsidP="00191A23">
            <w:pPr>
              <w:tabs>
                <w:tab w:val="left" w:pos="5400"/>
              </w:tabs>
              <w:jc w:val="center"/>
              <w:rPr>
                <w:sz w:val="20"/>
              </w:rPr>
            </w:pPr>
          </w:p>
        </w:tc>
        <w:tc>
          <w:tcPr>
            <w:tcW w:w="4642" w:type="dxa"/>
          </w:tcPr>
          <w:p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993" w:type="dxa"/>
          </w:tcPr>
          <w:p w:rsidR="00191A23" w:rsidRPr="0022554A" w:rsidRDefault="003110CA" w:rsidP="003110CA">
            <w:pPr>
              <w:tabs>
                <w:tab w:val="left" w:pos="5400"/>
              </w:tabs>
              <w:jc w:val="center"/>
              <w:rPr>
                <w:sz w:val="20"/>
              </w:rPr>
            </w:pPr>
            <w:r>
              <w:rPr>
                <w:sz w:val="20"/>
              </w:rPr>
              <w:t>N/A</w:t>
            </w:r>
          </w:p>
        </w:tc>
        <w:tc>
          <w:tcPr>
            <w:tcW w:w="7087" w:type="dxa"/>
          </w:tcPr>
          <w:p w:rsidR="00191A23" w:rsidRPr="00017C2B" w:rsidRDefault="003110CA" w:rsidP="00191A23">
            <w:pPr>
              <w:tabs>
                <w:tab w:val="left" w:pos="5400"/>
              </w:tabs>
            </w:pPr>
            <w:r w:rsidRPr="00017C2B">
              <w:t>N/A</w:t>
            </w:r>
          </w:p>
        </w:tc>
      </w:tr>
      <w:bookmarkEnd w:id="52"/>
      <w:bookmarkEnd w:id="53"/>
      <w:tr w:rsidR="00191A23" w:rsidRPr="0022554A" w:rsidTr="003110CA">
        <w:tc>
          <w:tcPr>
            <w:tcW w:w="14992" w:type="dxa"/>
            <w:gridSpan w:val="5"/>
          </w:tcPr>
          <w:p w:rsidR="00191A23" w:rsidRPr="00017C2B" w:rsidRDefault="00191A23" w:rsidP="00017C2B">
            <w:pPr>
              <w:tabs>
                <w:tab w:val="left" w:pos="5400"/>
              </w:tabs>
            </w:pPr>
            <w:r w:rsidRPr="00017C2B">
              <w:t>Results</w:t>
            </w:r>
          </w:p>
        </w:tc>
      </w:tr>
      <w:tr w:rsidR="00191A23" w:rsidRPr="0022554A" w:rsidTr="00341446">
        <w:tc>
          <w:tcPr>
            <w:tcW w:w="0" w:type="auto"/>
            <w:vMerge w:val="restart"/>
          </w:tcPr>
          <w:p w:rsidR="00191A23" w:rsidRPr="0022554A" w:rsidRDefault="00191A23" w:rsidP="00191A23">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rsidR="00191A23" w:rsidRPr="0022554A" w:rsidRDefault="00191A23" w:rsidP="00191A23">
            <w:pPr>
              <w:tabs>
                <w:tab w:val="left" w:pos="5400"/>
              </w:tabs>
              <w:jc w:val="center"/>
              <w:rPr>
                <w:sz w:val="20"/>
              </w:rPr>
            </w:pPr>
            <w:r w:rsidRPr="0022554A">
              <w:rPr>
                <w:sz w:val="20"/>
              </w:rPr>
              <w:t>13</w:t>
            </w:r>
            <w:bookmarkStart w:id="56" w:name="bold30"/>
            <w:r w:rsidRPr="0022554A">
              <w:rPr>
                <w:bCs/>
                <w:sz w:val="20"/>
              </w:rPr>
              <w:t>*</w:t>
            </w:r>
            <w:bookmarkEnd w:id="56"/>
          </w:p>
        </w:tc>
        <w:tc>
          <w:tcPr>
            <w:tcW w:w="4642" w:type="dxa"/>
          </w:tcPr>
          <w:p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993" w:type="dxa"/>
          </w:tcPr>
          <w:p w:rsidR="00191A23" w:rsidRDefault="005B4506" w:rsidP="00191A23">
            <w:pPr>
              <w:tabs>
                <w:tab w:val="left" w:pos="5400"/>
              </w:tabs>
              <w:rPr>
                <w:sz w:val="20"/>
              </w:rPr>
            </w:pPr>
            <w:r>
              <w:rPr>
                <w:sz w:val="20"/>
              </w:rPr>
              <w:t>Fig. 1</w:t>
            </w:r>
          </w:p>
        </w:tc>
        <w:tc>
          <w:tcPr>
            <w:tcW w:w="7087" w:type="dxa"/>
          </w:tcPr>
          <w:p w:rsidR="00191A23" w:rsidRPr="00017C2B" w:rsidRDefault="00341446" w:rsidP="00191A23">
            <w:pPr>
              <w:tabs>
                <w:tab w:val="left" w:pos="5400"/>
              </w:tabs>
            </w:pPr>
            <w:r w:rsidRPr="00017C2B">
              <w:t>This has been given in the flow diagram</w:t>
            </w:r>
          </w:p>
        </w:tc>
      </w:tr>
      <w:tr w:rsidR="00191A23" w:rsidRPr="0022554A" w:rsidTr="00341446">
        <w:tc>
          <w:tcPr>
            <w:tcW w:w="0" w:type="auto"/>
            <w:vMerge/>
          </w:tcPr>
          <w:p w:rsidR="00191A23" w:rsidRPr="0022554A" w:rsidRDefault="00191A23" w:rsidP="00191A23">
            <w:pPr>
              <w:tabs>
                <w:tab w:val="left" w:pos="5400"/>
              </w:tabs>
              <w:rPr>
                <w:bCs/>
                <w:sz w:val="20"/>
              </w:rPr>
            </w:pPr>
            <w:bookmarkStart w:id="57" w:name="bold31" w:colFirst="0" w:colLast="0"/>
            <w:bookmarkStart w:id="58" w:name="italic32" w:colFirst="0" w:colLast="0"/>
          </w:p>
        </w:tc>
        <w:tc>
          <w:tcPr>
            <w:tcW w:w="0" w:type="auto"/>
            <w:vMerge/>
          </w:tcPr>
          <w:p w:rsidR="00191A23" w:rsidRPr="0022554A" w:rsidRDefault="00191A23" w:rsidP="00191A23">
            <w:pPr>
              <w:tabs>
                <w:tab w:val="left" w:pos="5400"/>
              </w:tabs>
              <w:jc w:val="center"/>
              <w:rPr>
                <w:sz w:val="20"/>
              </w:rPr>
            </w:pPr>
          </w:p>
        </w:tc>
        <w:tc>
          <w:tcPr>
            <w:tcW w:w="4642" w:type="dxa"/>
          </w:tcPr>
          <w:p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993" w:type="dxa"/>
          </w:tcPr>
          <w:p w:rsidR="00191A23" w:rsidRDefault="005B4506" w:rsidP="00191A23">
            <w:pPr>
              <w:tabs>
                <w:tab w:val="left" w:pos="5400"/>
              </w:tabs>
              <w:rPr>
                <w:sz w:val="20"/>
              </w:rPr>
            </w:pPr>
            <w:r>
              <w:rPr>
                <w:sz w:val="20"/>
              </w:rPr>
              <w:t>Results Paragraph 1</w:t>
            </w:r>
          </w:p>
        </w:tc>
        <w:tc>
          <w:tcPr>
            <w:tcW w:w="7087" w:type="dxa"/>
          </w:tcPr>
          <w:p w:rsidR="0012460A" w:rsidRPr="00BD3A97" w:rsidRDefault="0012460A" w:rsidP="0012460A">
            <w:r>
              <w:t xml:space="preserve">. . . </w:t>
            </w:r>
            <w:r w:rsidRPr="00BD3A97">
              <w:t>could not be recruited - forty five patients (48% of un-recruited patients) could not be located either at the health post or at home</w:t>
            </w:r>
            <w:r>
              <w:t xml:space="preserve"> as an erroneous address had been provided or they had abandoned treatment at the health post after having left a diagnostic specimen</w:t>
            </w:r>
            <w:r w:rsidRPr="00BD3A97">
              <w:t xml:space="preserve">, 20 (22%) had died before an interview could be undertaken, 16 (17%) were imprisoned and 12 (13%) chose not to consent to enter the study. This left the household contacts of 213 newly diagnosed MDRTB index cases that were followed up as part of the study. </w:t>
            </w:r>
          </w:p>
          <w:p w:rsidR="00191A23" w:rsidRDefault="00191A23" w:rsidP="00191A23">
            <w:pPr>
              <w:tabs>
                <w:tab w:val="left" w:pos="5400"/>
              </w:tabs>
              <w:rPr>
                <w:sz w:val="20"/>
              </w:rPr>
            </w:pPr>
          </w:p>
        </w:tc>
      </w:tr>
      <w:tr w:rsidR="00191A23" w:rsidRPr="0022554A" w:rsidTr="00341446">
        <w:tc>
          <w:tcPr>
            <w:tcW w:w="0" w:type="auto"/>
            <w:vMerge/>
          </w:tcPr>
          <w:p w:rsidR="00191A23" w:rsidRPr="0022554A" w:rsidRDefault="00191A23" w:rsidP="00191A23">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191A23" w:rsidRPr="0022554A" w:rsidRDefault="00191A23" w:rsidP="00191A23">
            <w:pPr>
              <w:tabs>
                <w:tab w:val="left" w:pos="5400"/>
              </w:tabs>
              <w:jc w:val="center"/>
              <w:rPr>
                <w:sz w:val="20"/>
              </w:rPr>
            </w:pPr>
          </w:p>
        </w:tc>
        <w:tc>
          <w:tcPr>
            <w:tcW w:w="4642" w:type="dxa"/>
          </w:tcPr>
          <w:p w:rsidR="00191A23" w:rsidRPr="0022554A" w:rsidRDefault="00191A23" w:rsidP="00191A23">
            <w:pPr>
              <w:tabs>
                <w:tab w:val="left" w:pos="5400"/>
              </w:tabs>
              <w:rPr>
                <w:sz w:val="20"/>
              </w:rPr>
            </w:pPr>
            <w:bookmarkStart w:id="61" w:name="OLE_LINK4"/>
            <w:r>
              <w:rPr>
                <w:sz w:val="20"/>
              </w:rPr>
              <w:t xml:space="preserve">(c) </w:t>
            </w:r>
            <w:r w:rsidRPr="0022554A">
              <w:rPr>
                <w:sz w:val="20"/>
              </w:rPr>
              <w:t>Consider use of a flow diagram</w:t>
            </w:r>
            <w:bookmarkEnd w:id="61"/>
          </w:p>
        </w:tc>
        <w:tc>
          <w:tcPr>
            <w:tcW w:w="993" w:type="dxa"/>
          </w:tcPr>
          <w:p w:rsidR="00191A23" w:rsidRDefault="005B4506" w:rsidP="00191A23">
            <w:pPr>
              <w:tabs>
                <w:tab w:val="left" w:pos="5400"/>
              </w:tabs>
              <w:rPr>
                <w:sz w:val="20"/>
              </w:rPr>
            </w:pPr>
            <w:r>
              <w:rPr>
                <w:sz w:val="20"/>
              </w:rPr>
              <w:t>Fig. 1</w:t>
            </w:r>
          </w:p>
        </w:tc>
        <w:tc>
          <w:tcPr>
            <w:tcW w:w="7087" w:type="dxa"/>
          </w:tcPr>
          <w:p w:rsidR="00191A23" w:rsidRPr="00017C2B" w:rsidRDefault="00341446" w:rsidP="00017C2B">
            <w:r w:rsidRPr="00017C2B">
              <w:t>See flow diagram</w:t>
            </w:r>
          </w:p>
        </w:tc>
      </w:tr>
      <w:tr w:rsidR="00191A23" w:rsidRPr="0022554A" w:rsidTr="00341446">
        <w:tc>
          <w:tcPr>
            <w:tcW w:w="0" w:type="auto"/>
            <w:vMerge w:val="restart"/>
          </w:tcPr>
          <w:p w:rsidR="00191A23" w:rsidRPr="0022554A" w:rsidRDefault="00191A23" w:rsidP="00191A23">
            <w:pPr>
              <w:tabs>
                <w:tab w:val="left" w:pos="5400"/>
              </w:tabs>
              <w:rPr>
                <w:bCs/>
                <w:sz w:val="20"/>
              </w:rPr>
            </w:pPr>
            <w:bookmarkStart w:id="62" w:name="bold33"/>
            <w:bookmarkStart w:id="63" w:name="italic34"/>
            <w:bookmarkEnd w:id="59"/>
            <w:bookmarkEnd w:id="60"/>
            <w:r w:rsidRPr="0022554A">
              <w:rPr>
                <w:bCs/>
                <w:sz w:val="20"/>
              </w:rPr>
              <w:lastRenderedPageBreak/>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rsidR="00191A23" w:rsidRPr="0022554A" w:rsidRDefault="00191A23" w:rsidP="00191A23">
            <w:pPr>
              <w:tabs>
                <w:tab w:val="left" w:pos="5400"/>
              </w:tabs>
              <w:jc w:val="center"/>
              <w:rPr>
                <w:sz w:val="20"/>
              </w:rPr>
            </w:pPr>
            <w:r w:rsidRPr="0022554A">
              <w:rPr>
                <w:sz w:val="20"/>
              </w:rPr>
              <w:t>14</w:t>
            </w:r>
            <w:bookmarkStart w:id="66" w:name="bold35"/>
            <w:r w:rsidRPr="0022554A">
              <w:rPr>
                <w:bCs/>
                <w:sz w:val="20"/>
              </w:rPr>
              <w:t>*</w:t>
            </w:r>
            <w:bookmarkEnd w:id="66"/>
          </w:p>
        </w:tc>
        <w:tc>
          <w:tcPr>
            <w:tcW w:w="4642" w:type="dxa"/>
          </w:tcPr>
          <w:p w:rsidR="00191A23" w:rsidRPr="0022554A" w:rsidRDefault="00191A23" w:rsidP="00191A23">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993" w:type="dxa"/>
          </w:tcPr>
          <w:p w:rsidR="00191A23" w:rsidRDefault="005B4506" w:rsidP="00191A23">
            <w:pPr>
              <w:tabs>
                <w:tab w:val="left" w:pos="5400"/>
              </w:tabs>
              <w:rPr>
                <w:sz w:val="20"/>
              </w:rPr>
            </w:pPr>
            <w:r>
              <w:rPr>
                <w:sz w:val="20"/>
              </w:rPr>
              <w:t>Table 1 and Table 2</w:t>
            </w:r>
          </w:p>
        </w:tc>
        <w:tc>
          <w:tcPr>
            <w:tcW w:w="7087" w:type="dxa"/>
          </w:tcPr>
          <w:p w:rsidR="00191A23" w:rsidRPr="00017C2B" w:rsidRDefault="00341446" w:rsidP="00017C2B">
            <w:r w:rsidRPr="00017C2B">
              <w:t xml:space="preserve">See </w:t>
            </w:r>
            <w:r w:rsidR="00017C2B">
              <w:t>Table 1 and 2</w:t>
            </w:r>
          </w:p>
        </w:tc>
      </w:tr>
      <w:tr w:rsidR="00191A23" w:rsidRPr="0022554A" w:rsidTr="00341446">
        <w:tc>
          <w:tcPr>
            <w:tcW w:w="0" w:type="auto"/>
            <w:vMerge/>
          </w:tcPr>
          <w:p w:rsidR="00191A23" w:rsidRPr="0022554A" w:rsidRDefault="00191A23" w:rsidP="00191A23">
            <w:pPr>
              <w:tabs>
                <w:tab w:val="left" w:pos="5400"/>
              </w:tabs>
              <w:rPr>
                <w:bCs/>
                <w:sz w:val="20"/>
              </w:rPr>
            </w:pPr>
            <w:bookmarkStart w:id="67" w:name="bold36" w:colFirst="0" w:colLast="0"/>
            <w:bookmarkStart w:id="68" w:name="italic36" w:colFirst="0" w:colLast="0"/>
          </w:p>
        </w:tc>
        <w:tc>
          <w:tcPr>
            <w:tcW w:w="0" w:type="auto"/>
            <w:vMerge/>
          </w:tcPr>
          <w:p w:rsidR="00191A23" w:rsidRPr="0022554A" w:rsidRDefault="00191A23" w:rsidP="00191A23">
            <w:pPr>
              <w:tabs>
                <w:tab w:val="left" w:pos="5400"/>
              </w:tabs>
              <w:jc w:val="center"/>
              <w:rPr>
                <w:sz w:val="20"/>
              </w:rPr>
            </w:pPr>
          </w:p>
        </w:tc>
        <w:tc>
          <w:tcPr>
            <w:tcW w:w="4642" w:type="dxa"/>
          </w:tcPr>
          <w:p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993" w:type="dxa"/>
          </w:tcPr>
          <w:p w:rsidR="00191A23" w:rsidRDefault="005B4506" w:rsidP="00191A23">
            <w:pPr>
              <w:tabs>
                <w:tab w:val="left" w:pos="5400"/>
              </w:tabs>
              <w:rPr>
                <w:sz w:val="20"/>
              </w:rPr>
            </w:pPr>
            <w:r>
              <w:rPr>
                <w:sz w:val="20"/>
              </w:rPr>
              <w:t>Table 1 and Table 2</w:t>
            </w:r>
          </w:p>
        </w:tc>
        <w:tc>
          <w:tcPr>
            <w:tcW w:w="7087" w:type="dxa"/>
          </w:tcPr>
          <w:p w:rsidR="00191A23" w:rsidRPr="00017C2B" w:rsidRDefault="00341446" w:rsidP="00017C2B">
            <w:r w:rsidRPr="00017C2B">
              <w:t xml:space="preserve">See </w:t>
            </w:r>
            <w:r w:rsidR="00017C2B">
              <w:t>Table 1 and 2</w:t>
            </w:r>
          </w:p>
        </w:tc>
      </w:tr>
      <w:tr w:rsidR="00191A23" w:rsidRPr="0022554A" w:rsidTr="00341446">
        <w:tc>
          <w:tcPr>
            <w:tcW w:w="0" w:type="auto"/>
            <w:vMerge/>
          </w:tcPr>
          <w:p w:rsidR="00191A23" w:rsidRPr="0022554A" w:rsidRDefault="00191A23" w:rsidP="00191A23">
            <w:pPr>
              <w:tabs>
                <w:tab w:val="left" w:pos="5400"/>
              </w:tabs>
              <w:rPr>
                <w:bCs/>
                <w:sz w:val="20"/>
              </w:rPr>
            </w:pPr>
            <w:bookmarkStart w:id="69" w:name="bold37" w:colFirst="0" w:colLast="0"/>
            <w:bookmarkStart w:id="70" w:name="italic37" w:colFirst="0" w:colLast="0"/>
            <w:bookmarkEnd w:id="67"/>
            <w:bookmarkEnd w:id="68"/>
          </w:p>
        </w:tc>
        <w:tc>
          <w:tcPr>
            <w:tcW w:w="0" w:type="auto"/>
            <w:vMerge/>
          </w:tcPr>
          <w:p w:rsidR="00191A23" w:rsidRPr="0022554A" w:rsidRDefault="00191A23" w:rsidP="00191A23">
            <w:pPr>
              <w:tabs>
                <w:tab w:val="left" w:pos="5400"/>
              </w:tabs>
              <w:jc w:val="center"/>
              <w:rPr>
                <w:sz w:val="20"/>
              </w:rPr>
            </w:pPr>
          </w:p>
        </w:tc>
        <w:tc>
          <w:tcPr>
            <w:tcW w:w="4642" w:type="dxa"/>
          </w:tcPr>
          <w:p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993" w:type="dxa"/>
          </w:tcPr>
          <w:p w:rsidR="00191A23" w:rsidRDefault="005B4506" w:rsidP="00191A23">
            <w:pPr>
              <w:tabs>
                <w:tab w:val="left" w:pos="5400"/>
              </w:tabs>
              <w:rPr>
                <w:sz w:val="20"/>
              </w:rPr>
            </w:pPr>
            <w:r>
              <w:rPr>
                <w:sz w:val="20"/>
              </w:rPr>
              <w:t>Results Paragraph 6</w:t>
            </w:r>
          </w:p>
        </w:tc>
        <w:tc>
          <w:tcPr>
            <w:tcW w:w="7087" w:type="dxa"/>
          </w:tcPr>
          <w:p w:rsidR="005B4506" w:rsidRPr="00BD3A97" w:rsidRDefault="005B4506" w:rsidP="005B4506">
            <w:r w:rsidRPr="00BD3A97">
              <w:t xml:space="preserve">The total follow up time of MDRTB contacts was 1425 years </w:t>
            </w:r>
            <w:r>
              <w:t xml:space="preserve">(mean follow up time per MDRTB contact 494 days, standard deviation 199 days) </w:t>
            </w:r>
            <w:r w:rsidRPr="00BD3A97">
              <w:t>in which 35 second cases arose, equating to an incidence of 2456 per 100,000 contact follow up years.  The total follow up time of drug susceptible contacts was 2620</w:t>
            </w:r>
            <w:r>
              <w:t xml:space="preserve"> (mean follow up time per drug susceptible contact 406 days, standard deviation 189 days)</w:t>
            </w:r>
            <w:r w:rsidRPr="00BD3A97">
              <w:t xml:space="preserve"> years in which 114 second cases arose, equating to an incidence of 4351 per 100,000 contact follow up years (</w:t>
            </w:r>
            <w:r>
              <w:t>HR 0</w:t>
            </w:r>
            <w:r>
              <w:rPr>
                <w:rFonts w:ascii="Calibri" w:hAnsi="Calibri"/>
              </w:rPr>
              <w:t>·</w:t>
            </w:r>
            <w:r>
              <w:t>56 95% CI 0</w:t>
            </w:r>
            <w:r>
              <w:rPr>
                <w:rFonts w:ascii="Calibri" w:hAnsi="Calibri"/>
              </w:rPr>
              <w:t>·</w:t>
            </w:r>
            <w:r>
              <w:t>34-0</w:t>
            </w:r>
            <w:r>
              <w:rPr>
                <w:rFonts w:ascii="Calibri" w:hAnsi="Calibri"/>
              </w:rPr>
              <w:t>·</w:t>
            </w:r>
            <w:r>
              <w:t>90, p=0</w:t>
            </w:r>
            <w:r>
              <w:rPr>
                <w:rFonts w:ascii="Calibri" w:hAnsi="Calibri"/>
              </w:rPr>
              <w:t>·</w:t>
            </w:r>
            <w:r>
              <w:t>017</w:t>
            </w:r>
            <w:r w:rsidRPr="00BD3A97">
              <w:t xml:space="preserve">, </w:t>
            </w:r>
            <w:r>
              <w:t>Fig. 2, multivariate analysis</w:t>
            </w:r>
            <w:r w:rsidRPr="00BD3A97">
              <w:t>).</w:t>
            </w:r>
          </w:p>
          <w:p w:rsidR="00191A23" w:rsidRPr="00341446" w:rsidRDefault="00191A23" w:rsidP="00341446"/>
        </w:tc>
      </w:tr>
      <w:tr w:rsidR="00191A23" w:rsidRPr="0022554A" w:rsidTr="00341446">
        <w:trPr>
          <w:trHeight w:val="295"/>
        </w:trPr>
        <w:tc>
          <w:tcPr>
            <w:tcW w:w="0" w:type="auto"/>
            <w:vMerge w:val="restart"/>
          </w:tcPr>
          <w:p w:rsidR="00191A23" w:rsidRPr="0022554A" w:rsidRDefault="00191A23" w:rsidP="00191A23">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vMerge w:val="restart"/>
          </w:tcPr>
          <w:p w:rsidR="00191A23" w:rsidRPr="0022554A" w:rsidRDefault="00191A23" w:rsidP="00191A23">
            <w:pPr>
              <w:tabs>
                <w:tab w:val="left" w:pos="5400"/>
              </w:tabs>
              <w:jc w:val="center"/>
              <w:rPr>
                <w:sz w:val="20"/>
              </w:rPr>
            </w:pPr>
            <w:r w:rsidRPr="0022554A">
              <w:rPr>
                <w:sz w:val="20"/>
              </w:rPr>
              <w:t>15</w:t>
            </w:r>
            <w:bookmarkStart w:id="73" w:name="bold39"/>
            <w:r w:rsidRPr="0022554A">
              <w:rPr>
                <w:bCs/>
                <w:sz w:val="20"/>
              </w:rPr>
              <w:t>*</w:t>
            </w:r>
            <w:bookmarkEnd w:id="73"/>
          </w:p>
        </w:tc>
        <w:tc>
          <w:tcPr>
            <w:tcW w:w="4642" w:type="dxa"/>
          </w:tcPr>
          <w:p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993" w:type="dxa"/>
          </w:tcPr>
          <w:p w:rsidR="00191A23" w:rsidRPr="005B4506" w:rsidRDefault="005B4506" w:rsidP="00191A23">
            <w:pPr>
              <w:tabs>
                <w:tab w:val="left" w:pos="5400"/>
              </w:tabs>
              <w:rPr>
                <w:sz w:val="20"/>
              </w:rPr>
            </w:pPr>
            <w:r>
              <w:rPr>
                <w:sz w:val="20"/>
              </w:rPr>
              <w:t>Fig.1 to 5</w:t>
            </w:r>
          </w:p>
        </w:tc>
        <w:tc>
          <w:tcPr>
            <w:tcW w:w="7087" w:type="dxa"/>
          </w:tcPr>
          <w:p w:rsidR="00191A23" w:rsidRPr="00017C2B" w:rsidRDefault="00E33D4E" w:rsidP="00017C2B">
            <w:r w:rsidRPr="00017C2B">
              <w:t>See Figure 1 to 5 which present outcome events over study time.</w:t>
            </w:r>
          </w:p>
        </w:tc>
      </w:tr>
      <w:tr w:rsidR="00191A23" w:rsidRPr="0022554A" w:rsidTr="00341446">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4642" w:type="dxa"/>
          </w:tcPr>
          <w:p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993" w:type="dxa"/>
          </w:tcPr>
          <w:p w:rsidR="00191A23" w:rsidRPr="005B4506" w:rsidRDefault="00191A23" w:rsidP="00191A23">
            <w:pPr>
              <w:tabs>
                <w:tab w:val="left" w:pos="5400"/>
              </w:tabs>
              <w:rPr>
                <w:sz w:val="20"/>
              </w:rPr>
            </w:pPr>
          </w:p>
        </w:tc>
        <w:tc>
          <w:tcPr>
            <w:tcW w:w="7087" w:type="dxa"/>
          </w:tcPr>
          <w:p w:rsidR="00191A23" w:rsidRPr="00017C2B" w:rsidRDefault="00341446" w:rsidP="00017C2B">
            <w:r w:rsidRPr="00017C2B">
              <w:t>N/A</w:t>
            </w:r>
          </w:p>
        </w:tc>
      </w:tr>
      <w:tr w:rsidR="00191A23" w:rsidRPr="0022554A" w:rsidTr="00341446">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4642" w:type="dxa"/>
          </w:tcPr>
          <w:p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993" w:type="dxa"/>
          </w:tcPr>
          <w:p w:rsidR="00191A23" w:rsidRDefault="00191A23" w:rsidP="00191A23">
            <w:pPr>
              <w:tabs>
                <w:tab w:val="left" w:pos="5400"/>
              </w:tabs>
              <w:rPr>
                <w:i/>
                <w:sz w:val="20"/>
              </w:rPr>
            </w:pPr>
          </w:p>
        </w:tc>
        <w:tc>
          <w:tcPr>
            <w:tcW w:w="7087" w:type="dxa"/>
          </w:tcPr>
          <w:p w:rsidR="00191A23" w:rsidRPr="00017C2B" w:rsidRDefault="00341446" w:rsidP="00017C2B">
            <w:r w:rsidRPr="00017C2B">
              <w:t>N/A</w:t>
            </w:r>
          </w:p>
        </w:tc>
      </w:tr>
      <w:tr w:rsidR="00191A23" w:rsidRPr="0022554A" w:rsidTr="00341446">
        <w:tc>
          <w:tcPr>
            <w:tcW w:w="0" w:type="auto"/>
            <w:vMerge w:val="restart"/>
          </w:tcPr>
          <w:p w:rsidR="00191A23" w:rsidRPr="0022554A" w:rsidRDefault="00191A23" w:rsidP="00191A23">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vMerge w:val="restart"/>
          </w:tcPr>
          <w:p w:rsidR="00191A23" w:rsidRPr="0022554A" w:rsidRDefault="00191A23" w:rsidP="00191A23">
            <w:pPr>
              <w:tabs>
                <w:tab w:val="left" w:pos="5400"/>
              </w:tabs>
              <w:jc w:val="center"/>
              <w:rPr>
                <w:sz w:val="20"/>
              </w:rPr>
            </w:pPr>
            <w:r w:rsidRPr="0022554A">
              <w:rPr>
                <w:sz w:val="20"/>
              </w:rPr>
              <w:t>16</w:t>
            </w:r>
          </w:p>
        </w:tc>
        <w:tc>
          <w:tcPr>
            <w:tcW w:w="4642" w:type="dxa"/>
          </w:tcPr>
          <w:p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993" w:type="dxa"/>
          </w:tcPr>
          <w:p w:rsidR="00191A23" w:rsidRPr="0022554A" w:rsidRDefault="005B4506" w:rsidP="00191A23">
            <w:pPr>
              <w:tabs>
                <w:tab w:val="left" w:pos="5400"/>
              </w:tabs>
              <w:rPr>
                <w:sz w:val="20"/>
              </w:rPr>
            </w:pPr>
            <w:r>
              <w:rPr>
                <w:sz w:val="20"/>
              </w:rPr>
              <w:t>Table 3</w:t>
            </w:r>
            <w:proofErr w:type="gramStart"/>
            <w:r>
              <w:rPr>
                <w:sz w:val="20"/>
              </w:rPr>
              <w:t>,4,5</w:t>
            </w:r>
            <w:proofErr w:type="gramEnd"/>
            <w:r>
              <w:rPr>
                <w:sz w:val="20"/>
              </w:rPr>
              <w:t>.</w:t>
            </w:r>
          </w:p>
        </w:tc>
        <w:tc>
          <w:tcPr>
            <w:tcW w:w="7087" w:type="dxa"/>
          </w:tcPr>
          <w:p w:rsidR="00191A23" w:rsidRPr="00017C2B" w:rsidRDefault="00E33D4E" w:rsidP="00017C2B">
            <w:r w:rsidRPr="00017C2B">
              <w:t>See Table 3, 4 and 5.</w:t>
            </w:r>
            <w:r w:rsidR="00341446" w:rsidRPr="00017C2B">
              <w:t xml:space="preserve"> </w:t>
            </w:r>
          </w:p>
        </w:tc>
      </w:tr>
      <w:tr w:rsidR="00191A23" w:rsidRPr="0022554A" w:rsidTr="00341446">
        <w:tc>
          <w:tcPr>
            <w:tcW w:w="0" w:type="auto"/>
            <w:vMerge/>
          </w:tcPr>
          <w:p w:rsidR="00191A23" w:rsidRPr="0022554A" w:rsidRDefault="00191A23" w:rsidP="00191A23">
            <w:pPr>
              <w:tabs>
                <w:tab w:val="left" w:pos="5400"/>
              </w:tabs>
              <w:rPr>
                <w:bCs/>
                <w:sz w:val="20"/>
              </w:rPr>
            </w:pPr>
            <w:bookmarkStart w:id="76" w:name="italic41" w:colFirst="0" w:colLast="0"/>
            <w:bookmarkStart w:id="77" w:name="bold42" w:colFirst="0" w:colLast="0"/>
            <w:bookmarkEnd w:id="74"/>
            <w:bookmarkEnd w:id="75"/>
          </w:p>
        </w:tc>
        <w:tc>
          <w:tcPr>
            <w:tcW w:w="0" w:type="auto"/>
            <w:vMerge/>
          </w:tcPr>
          <w:p w:rsidR="00191A23" w:rsidRPr="0022554A" w:rsidRDefault="00191A23" w:rsidP="00191A23">
            <w:pPr>
              <w:tabs>
                <w:tab w:val="left" w:pos="5400"/>
              </w:tabs>
              <w:jc w:val="center"/>
              <w:rPr>
                <w:sz w:val="20"/>
              </w:rPr>
            </w:pPr>
          </w:p>
        </w:tc>
        <w:tc>
          <w:tcPr>
            <w:tcW w:w="4642" w:type="dxa"/>
          </w:tcPr>
          <w:p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993" w:type="dxa"/>
          </w:tcPr>
          <w:p w:rsidR="00191A23" w:rsidRPr="0022554A" w:rsidRDefault="005B4506" w:rsidP="00191A23">
            <w:pPr>
              <w:tabs>
                <w:tab w:val="left" w:pos="5400"/>
              </w:tabs>
              <w:rPr>
                <w:sz w:val="20"/>
              </w:rPr>
            </w:pPr>
            <w:r>
              <w:rPr>
                <w:sz w:val="20"/>
              </w:rPr>
              <w:t>Table 2,3,4,5</w:t>
            </w:r>
          </w:p>
        </w:tc>
        <w:tc>
          <w:tcPr>
            <w:tcW w:w="7087" w:type="dxa"/>
          </w:tcPr>
          <w:p w:rsidR="00191A23" w:rsidRPr="00017C2B" w:rsidRDefault="00341446" w:rsidP="00017C2B">
            <w:r w:rsidRPr="00017C2B">
              <w:t>See Table</w:t>
            </w:r>
            <w:r w:rsidR="00E33D4E" w:rsidRPr="00017C2B">
              <w:t xml:space="preserve"> 2</w:t>
            </w:r>
            <w:proofErr w:type="gramStart"/>
            <w:r w:rsidR="00E33D4E" w:rsidRPr="00017C2B">
              <w:t>,3,4</w:t>
            </w:r>
            <w:proofErr w:type="gramEnd"/>
            <w:r w:rsidR="00E33D4E" w:rsidRPr="00017C2B">
              <w:t xml:space="preserve"> and 5.</w:t>
            </w:r>
          </w:p>
        </w:tc>
      </w:tr>
      <w:tr w:rsidR="00191A23" w:rsidRPr="0022554A" w:rsidTr="00341446">
        <w:tc>
          <w:tcPr>
            <w:tcW w:w="0" w:type="auto"/>
            <w:vMerge/>
          </w:tcPr>
          <w:p w:rsidR="00191A23" w:rsidRPr="0022554A" w:rsidRDefault="00191A23" w:rsidP="00191A23">
            <w:pPr>
              <w:tabs>
                <w:tab w:val="left" w:pos="5400"/>
              </w:tabs>
              <w:rPr>
                <w:bCs/>
                <w:sz w:val="20"/>
              </w:rPr>
            </w:pPr>
            <w:bookmarkStart w:id="78" w:name="italic42" w:colFirst="0" w:colLast="0"/>
            <w:bookmarkStart w:id="79" w:name="bold43" w:colFirst="0" w:colLast="0"/>
            <w:bookmarkEnd w:id="76"/>
            <w:bookmarkEnd w:id="77"/>
          </w:p>
        </w:tc>
        <w:tc>
          <w:tcPr>
            <w:tcW w:w="0" w:type="auto"/>
            <w:vMerge/>
          </w:tcPr>
          <w:p w:rsidR="00191A23" w:rsidRPr="0022554A" w:rsidRDefault="00191A23" w:rsidP="00191A23">
            <w:pPr>
              <w:tabs>
                <w:tab w:val="left" w:pos="5400"/>
              </w:tabs>
              <w:jc w:val="center"/>
              <w:rPr>
                <w:sz w:val="20"/>
              </w:rPr>
            </w:pPr>
          </w:p>
        </w:tc>
        <w:tc>
          <w:tcPr>
            <w:tcW w:w="4642" w:type="dxa"/>
          </w:tcPr>
          <w:p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 xml:space="preserve">If relevant, consider translating estimates of relative risk into absolute risk for a meaningful time </w:t>
            </w:r>
            <w:r w:rsidRPr="006149D3">
              <w:rPr>
                <w:sz w:val="20"/>
              </w:rPr>
              <w:lastRenderedPageBreak/>
              <w:t>period</w:t>
            </w:r>
          </w:p>
        </w:tc>
        <w:tc>
          <w:tcPr>
            <w:tcW w:w="993" w:type="dxa"/>
          </w:tcPr>
          <w:p w:rsidR="00191A23" w:rsidRPr="0022554A" w:rsidRDefault="00191A23" w:rsidP="00191A23">
            <w:pPr>
              <w:tabs>
                <w:tab w:val="left" w:pos="5400"/>
              </w:tabs>
              <w:rPr>
                <w:sz w:val="20"/>
              </w:rPr>
            </w:pPr>
          </w:p>
        </w:tc>
        <w:tc>
          <w:tcPr>
            <w:tcW w:w="7087" w:type="dxa"/>
          </w:tcPr>
          <w:p w:rsidR="00191A23" w:rsidRPr="00017C2B" w:rsidRDefault="00E33D4E" w:rsidP="00017C2B">
            <w:r w:rsidRPr="00017C2B">
              <w:t>N/A</w:t>
            </w:r>
          </w:p>
        </w:tc>
      </w:tr>
    </w:tbl>
    <w:p w:rsidR="00191A23" w:rsidRDefault="00191A23">
      <w:bookmarkStart w:id="80" w:name="italic43"/>
      <w:bookmarkStart w:id="81" w:name="bold44"/>
      <w:bookmarkEnd w:id="78"/>
      <w:bookmarkEnd w:id="79"/>
      <w:r w:rsidRPr="004A32C8">
        <w:rPr>
          <w:sz w:val="16"/>
          <w:szCs w:val="16"/>
        </w:rPr>
        <w:lastRenderedPageBreak/>
        <w:t>Continued on next page</w:t>
      </w:r>
      <w:r>
        <w:t xml:space="preserve"> </w:t>
      </w:r>
      <w:r>
        <w:br w:type="page"/>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4"/>
        <w:gridCol w:w="416"/>
        <w:gridCol w:w="4821"/>
        <w:gridCol w:w="1405"/>
        <w:gridCol w:w="6856"/>
      </w:tblGrid>
      <w:tr w:rsidR="00191A23" w:rsidRPr="0022554A" w:rsidTr="00E33D4E">
        <w:tc>
          <w:tcPr>
            <w:tcW w:w="0" w:type="auto"/>
          </w:tcPr>
          <w:p w:rsidR="00191A23" w:rsidRPr="0022554A" w:rsidRDefault="00191A23" w:rsidP="00191A23">
            <w:pPr>
              <w:tabs>
                <w:tab w:val="left" w:pos="5400"/>
              </w:tabs>
              <w:rPr>
                <w:bCs/>
                <w:sz w:val="20"/>
              </w:rPr>
            </w:pPr>
            <w:r w:rsidRPr="0022554A">
              <w:rPr>
                <w:bCs/>
                <w:sz w:val="20"/>
              </w:rPr>
              <w:lastRenderedPageBreak/>
              <w:t>Other analyses</w:t>
            </w:r>
            <w:bookmarkEnd w:id="80"/>
            <w:bookmarkEnd w:id="81"/>
          </w:p>
        </w:tc>
        <w:tc>
          <w:tcPr>
            <w:tcW w:w="0" w:type="auto"/>
          </w:tcPr>
          <w:p w:rsidR="00191A23" w:rsidRPr="0022554A" w:rsidRDefault="00191A23" w:rsidP="00191A23">
            <w:pPr>
              <w:tabs>
                <w:tab w:val="left" w:pos="5400"/>
              </w:tabs>
              <w:jc w:val="center"/>
              <w:rPr>
                <w:sz w:val="20"/>
              </w:rPr>
            </w:pPr>
            <w:r w:rsidRPr="0022554A">
              <w:rPr>
                <w:sz w:val="20"/>
              </w:rPr>
              <w:t>17</w:t>
            </w:r>
          </w:p>
        </w:tc>
        <w:tc>
          <w:tcPr>
            <w:tcW w:w="5001" w:type="dxa"/>
          </w:tcPr>
          <w:p w:rsidR="00191A23" w:rsidRPr="0022554A" w:rsidRDefault="00191A23" w:rsidP="00191A23">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r w:rsidR="00E33D4E">
              <w:rPr>
                <w:sz w:val="20"/>
              </w:rPr>
              <w:t xml:space="preserve"> </w:t>
            </w:r>
          </w:p>
        </w:tc>
        <w:tc>
          <w:tcPr>
            <w:tcW w:w="993" w:type="dxa"/>
          </w:tcPr>
          <w:p w:rsidR="00191A23" w:rsidRPr="0022554A" w:rsidRDefault="005B4506" w:rsidP="00191A23">
            <w:pPr>
              <w:tabs>
                <w:tab w:val="left" w:pos="5400"/>
              </w:tabs>
              <w:rPr>
                <w:sz w:val="20"/>
              </w:rPr>
            </w:pPr>
            <w:r>
              <w:rPr>
                <w:sz w:val="20"/>
              </w:rPr>
              <w:t>Methods Paragraph 10</w:t>
            </w:r>
          </w:p>
        </w:tc>
        <w:tc>
          <w:tcPr>
            <w:tcW w:w="7087" w:type="dxa"/>
          </w:tcPr>
          <w:p w:rsidR="00191A23" w:rsidRPr="0022554A" w:rsidRDefault="005B4506" w:rsidP="00191A23">
            <w:pPr>
              <w:tabs>
                <w:tab w:val="left" w:pos="5400"/>
              </w:tabs>
              <w:rPr>
                <w:sz w:val="20"/>
              </w:rPr>
            </w:pPr>
            <w:r>
              <w:t>The interactions between age and chemotherapy use, diabetes and index drug resistance, socio-economic status and sputum smear grade, contact employment and socio-economic status as well as index case genotype and index case drug resistance status were all examined for significance in predicting second household cases of disease.</w:t>
            </w:r>
          </w:p>
        </w:tc>
      </w:tr>
      <w:tr w:rsidR="00976EE1" w:rsidRPr="0022554A" w:rsidTr="00E33D4E">
        <w:tc>
          <w:tcPr>
            <w:tcW w:w="14992" w:type="dxa"/>
            <w:gridSpan w:val="5"/>
          </w:tcPr>
          <w:p w:rsidR="00976EE1" w:rsidRPr="0022554A" w:rsidRDefault="00976EE1" w:rsidP="00191A23">
            <w:pPr>
              <w:pStyle w:val="TableSubHead"/>
              <w:tabs>
                <w:tab w:val="left" w:pos="5400"/>
              </w:tabs>
              <w:rPr>
                <w:sz w:val="20"/>
              </w:rPr>
            </w:pPr>
            <w:bookmarkStart w:id="82" w:name="italic44"/>
            <w:bookmarkStart w:id="83" w:name="bold45"/>
            <w:r w:rsidRPr="0022554A">
              <w:rPr>
                <w:sz w:val="20"/>
              </w:rPr>
              <w:t>Discussion</w:t>
            </w:r>
            <w:bookmarkEnd w:id="82"/>
            <w:bookmarkEnd w:id="83"/>
          </w:p>
        </w:tc>
      </w:tr>
      <w:tr w:rsidR="00191A23" w:rsidRPr="0022554A" w:rsidTr="00E33D4E">
        <w:tc>
          <w:tcPr>
            <w:tcW w:w="0" w:type="auto"/>
          </w:tcPr>
          <w:p w:rsidR="00191A23" w:rsidRPr="0022554A" w:rsidRDefault="00191A23" w:rsidP="00191A23">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tcPr>
          <w:p w:rsidR="00191A23" w:rsidRPr="0022554A" w:rsidRDefault="00191A23" w:rsidP="00191A23">
            <w:pPr>
              <w:tabs>
                <w:tab w:val="left" w:pos="5400"/>
              </w:tabs>
              <w:jc w:val="center"/>
              <w:rPr>
                <w:sz w:val="20"/>
              </w:rPr>
            </w:pPr>
            <w:r w:rsidRPr="0022554A">
              <w:rPr>
                <w:sz w:val="20"/>
              </w:rPr>
              <w:t>18</w:t>
            </w:r>
          </w:p>
        </w:tc>
        <w:tc>
          <w:tcPr>
            <w:tcW w:w="5001" w:type="dxa"/>
          </w:tcPr>
          <w:p w:rsidR="00191A23" w:rsidRPr="0022554A" w:rsidRDefault="00191A23" w:rsidP="00191A23">
            <w:pPr>
              <w:tabs>
                <w:tab w:val="left" w:pos="5400"/>
              </w:tabs>
              <w:rPr>
                <w:sz w:val="20"/>
              </w:rPr>
            </w:pPr>
            <w:r w:rsidRPr="0022554A">
              <w:rPr>
                <w:sz w:val="20"/>
              </w:rPr>
              <w:t>Summarise key results with reference to study objectives</w:t>
            </w:r>
          </w:p>
        </w:tc>
        <w:tc>
          <w:tcPr>
            <w:tcW w:w="993" w:type="dxa"/>
          </w:tcPr>
          <w:p w:rsidR="00191A23" w:rsidRPr="0022554A" w:rsidRDefault="005B4506" w:rsidP="00191A23">
            <w:pPr>
              <w:tabs>
                <w:tab w:val="left" w:pos="5400"/>
              </w:tabs>
              <w:rPr>
                <w:sz w:val="20"/>
              </w:rPr>
            </w:pPr>
            <w:r>
              <w:rPr>
                <w:sz w:val="20"/>
              </w:rPr>
              <w:t>Discussion Paragraph 1</w:t>
            </w:r>
          </w:p>
        </w:tc>
        <w:tc>
          <w:tcPr>
            <w:tcW w:w="7087" w:type="dxa"/>
          </w:tcPr>
          <w:p w:rsidR="00191A23" w:rsidRPr="0022554A" w:rsidRDefault="00E33D4E" w:rsidP="00191A23">
            <w:pPr>
              <w:tabs>
                <w:tab w:val="left" w:pos="5400"/>
              </w:tabs>
              <w:rPr>
                <w:sz w:val="20"/>
              </w:rPr>
            </w:pPr>
            <w:r w:rsidRPr="00BD3A97">
              <w:t>This prospective cohort study has demonstrated that over 3 years follow up the incidence of tuberculosis disease in households with an index MDRTB case is almost half that of households with a drug susceptible index case.</w:t>
            </w:r>
          </w:p>
        </w:tc>
      </w:tr>
      <w:tr w:rsidR="00191A23" w:rsidRPr="0022554A" w:rsidTr="00E33D4E">
        <w:tc>
          <w:tcPr>
            <w:tcW w:w="0" w:type="auto"/>
          </w:tcPr>
          <w:p w:rsidR="00191A23" w:rsidRPr="0022554A" w:rsidRDefault="00191A23" w:rsidP="00191A23">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0" w:type="auto"/>
          </w:tcPr>
          <w:p w:rsidR="00191A23" w:rsidRPr="0022554A" w:rsidRDefault="00191A23" w:rsidP="00191A23">
            <w:pPr>
              <w:tabs>
                <w:tab w:val="left" w:pos="5400"/>
              </w:tabs>
              <w:jc w:val="center"/>
              <w:rPr>
                <w:sz w:val="20"/>
              </w:rPr>
            </w:pPr>
            <w:r w:rsidRPr="0022554A">
              <w:rPr>
                <w:sz w:val="20"/>
              </w:rPr>
              <w:t>19</w:t>
            </w:r>
          </w:p>
        </w:tc>
        <w:tc>
          <w:tcPr>
            <w:tcW w:w="5001" w:type="dxa"/>
          </w:tcPr>
          <w:p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993" w:type="dxa"/>
          </w:tcPr>
          <w:p w:rsidR="00191A23" w:rsidRPr="0022554A" w:rsidRDefault="005B4506" w:rsidP="00191A23">
            <w:pPr>
              <w:tabs>
                <w:tab w:val="left" w:pos="5400"/>
              </w:tabs>
              <w:rPr>
                <w:sz w:val="20"/>
              </w:rPr>
            </w:pPr>
            <w:r>
              <w:rPr>
                <w:sz w:val="20"/>
              </w:rPr>
              <w:t>Discussion Paragraph 7</w:t>
            </w:r>
          </w:p>
        </w:tc>
        <w:tc>
          <w:tcPr>
            <w:tcW w:w="7087" w:type="dxa"/>
          </w:tcPr>
          <w:p w:rsidR="008B4CF9" w:rsidRDefault="008B4CF9" w:rsidP="008B4CF9">
            <w:r w:rsidRPr="00BD3A97">
              <w:t>Our study has a number of important strengths and limitations. A large cohort of MDRTB patients followed over 3 years, the highest risk period for incident tuberculosis disease following acquisition of new infection, enabled us to recruit enough newly diagnosed patients to accurately compare the incidence of disease in both groups with sufficient statistical power to detect a difference between the two groups. Comprehensive index patient interviews gave us detailed data on potentially confounding clinical, demographic and socio-economic variables, while active case finding visits to the household maximized the sensitivity of case detection. Genotyping culture positive contacts would have allowed us to be more certain of the relative contribution of extra-domiciliary transmission to MDRTB and drug susceptible households.</w:t>
            </w:r>
            <w:r>
              <w:t xml:space="preserve"> </w:t>
            </w:r>
            <w:r w:rsidR="0006417F" w:rsidRPr="00BD3A97">
              <w:fldChar w:fldCharType="begin"/>
            </w:r>
            <w:r>
              <w:instrText xml:space="preserve"> ADDIN ZOTERO_ITEM CSL_CITATION {"citationID":"1575qmlb2f","properties":{"formattedCitation":"[27]","plainCitation":"[27]"},"citationItems":[{"id":1728,"uris":["http://zotero.org/users/local/Zvy1osKI/items/IAFQGAQE"],"uri":["http://zotero.org/users/local/Zvy1osKI/items/IAFQGAQE"],"itemData":{"id":1728,"type":"article-journal","title":"Multiple introductions of multidrug-resistant tuberculosis into households, Lima, Peru","container-title":"Emerging infectious diseases","page":"969-975","volume":"17","issue":"6","source":"NCBI PubMed","abstract":"Two cases of multidrug-resistant tuberculosis (MDR TB) in a household are assumed to reflect within-household transmission. However, in high-incidence areas of MDR TB, secondary cases may arise through exposure to MDR TB in the community. To estimate the frequency of multiple introductions of MDR TB into households, we used spoligotyping and 24-loci mycobacterial interspersed repetitive unit- variable number tandem repeats to classify isolates from 101 households in Lima, Peru, in which &gt;1 MDR TB patient received treatment during 1996-2004. We found different MDR TB strains in &gt;10% of households. Alternate approaches for classifying matching strains produced estimates of multiple introductions in &lt;38% of households. At least 4% of MDR TB patients were reinfected by a second strain of MDR Mycobacterium tuberculosis. These findings suggest that community exposure to MDR TB in Lima occurs frequently. Rapid drug sensitivity testing of strains from household contacts of known MDR TB patients is needed to identify optimal treatment regimens.","DOI":"10.3201/eid/1706.101471","ISSN":"1080-6059","note":"PMID: 21749756 \nPMCID: PMC3358204","journalAbbreviation":"Emerging Infect. Dis.","language":"eng","author":[{"family":"Cohen","given":"Ted"},{"family":"Murray","given":"Megan"},{"family":"Abubakar","given":"Ibrahim"},{"family":"Zhang","given":"Zibiao"},{"family":"Sloutsky","given":"Alexander"},{"family":"Arteaga","given":"Fernando"},{"family":"Chalco","given":"Katiuska"},{"family":"Franke","given":"Molly F"},{"family":"Becerra","given":"Mercedes C"}],"issued":{"date-parts":[["2011",6]]},"PMID":"21749756"}}],"schema":"https://github.com/citation-style-language/schema/raw/master/csl-citation.json"} </w:instrText>
            </w:r>
            <w:r w:rsidR="0006417F" w:rsidRPr="00BD3A97">
              <w:fldChar w:fldCharType="separate"/>
            </w:r>
            <w:r w:rsidRPr="00312EDB">
              <w:rPr>
                <w:rFonts w:ascii="Calibri" w:hAnsi="Calibri"/>
              </w:rPr>
              <w:t>[27]</w:t>
            </w:r>
            <w:r w:rsidR="0006417F" w:rsidRPr="00BD3A97">
              <w:fldChar w:fldCharType="end"/>
            </w:r>
            <w:r w:rsidRPr="00BD3A97">
              <w:t xml:space="preserve"> However, drug susceptible control patients were selected from the same region as drug resistant index cases and were therefore likely to have been exposed to a similar risk of tuberculosis infection from the surrounding community</w:t>
            </w:r>
            <w:r>
              <w:t xml:space="preserve">. </w:t>
            </w:r>
          </w:p>
          <w:p w:rsidR="00191A23" w:rsidRPr="00E33D4E" w:rsidRDefault="00E33D4E" w:rsidP="00AD64AC">
            <w:r>
              <w:t xml:space="preserve"> </w:t>
            </w:r>
          </w:p>
        </w:tc>
      </w:tr>
      <w:tr w:rsidR="00191A23" w:rsidRPr="0022554A" w:rsidTr="00E33D4E">
        <w:tc>
          <w:tcPr>
            <w:tcW w:w="0" w:type="auto"/>
          </w:tcPr>
          <w:p w:rsidR="00191A23" w:rsidRPr="0022554A" w:rsidRDefault="00191A23" w:rsidP="00191A23">
            <w:pP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0" w:type="auto"/>
          </w:tcPr>
          <w:p w:rsidR="00191A23" w:rsidRPr="0022554A" w:rsidRDefault="00191A23" w:rsidP="00191A23">
            <w:pPr>
              <w:tabs>
                <w:tab w:val="left" w:pos="5400"/>
              </w:tabs>
              <w:jc w:val="center"/>
              <w:rPr>
                <w:sz w:val="20"/>
              </w:rPr>
            </w:pPr>
            <w:r w:rsidRPr="0022554A">
              <w:rPr>
                <w:sz w:val="20"/>
              </w:rPr>
              <w:t>20</w:t>
            </w:r>
          </w:p>
        </w:tc>
        <w:tc>
          <w:tcPr>
            <w:tcW w:w="5001" w:type="dxa"/>
          </w:tcPr>
          <w:p w:rsidR="00191A23" w:rsidRPr="0022554A" w:rsidRDefault="00191A23" w:rsidP="00191A23">
            <w:pPr>
              <w:tabs>
                <w:tab w:val="left" w:pos="5400"/>
              </w:tabs>
              <w:rPr>
                <w:sz w:val="20"/>
              </w:rPr>
            </w:pPr>
            <w:r w:rsidRPr="0022554A">
              <w:rPr>
                <w:sz w:val="20"/>
              </w:rPr>
              <w:t xml:space="preserve">Give a cautious overall interpretation of results considering objectives, limitations, multiplicity of </w:t>
            </w:r>
            <w:r w:rsidRPr="0022554A">
              <w:rPr>
                <w:sz w:val="20"/>
              </w:rPr>
              <w:lastRenderedPageBreak/>
              <w:t>analyses, results from similar studies, and other relevant evidence</w:t>
            </w:r>
          </w:p>
        </w:tc>
        <w:tc>
          <w:tcPr>
            <w:tcW w:w="993" w:type="dxa"/>
          </w:tcPr>
          <w:p w:rsidR="00191A23" w:rsidRPr="0022554A" w:rsidRDefault="005B4506" w:rsidP="00191A23">
            <w:pPr>
              <w:tabs>
                <w:tab w:val="left" w:pos="5400"/>
              </w:tabs>
              <w:rPr>
                <w:sz w:val="20"/>
              </w:rPr>
            </w:pPr>
            <w:r>
              <w:rPr>
                <w:sz w:val="20"/>
              </w:rPr>
              <w:lastRenderedPageBreak/>
              <w:t>Discussion Paragraph 5</w:t>
            </w:r>
          </w:p>
        </w:tc>
        <w:tc>
          <w:tcPr>
            <w:tcW w:w="7087" w:type="dxa"/>
          </w:tcPr>
          <w:p w:rsidR="00E33D4E" w:rsidRDefault="00E33D4E" w:rsidP="00191A23">
            <w:pPr>
              <w:tabs>
                <w:tab w:val="left" w:pos="5400"/>
              </w:tabs>
            </w:pPr>
            <w:r>
              <w:t xml:space="preserve">The incidence rate of disease among MDRTB contacts in this study was almost identical to our previous estimate of the incidence of </w:t>
            </w:r>
            <w:r>
              <w:lastRenderedPageBreak/>
              <w:t xml:space="preserve">disease in MDRTB contacts established in a preliminary retrospective study </w:t>
            </w:r>
            <w:r w:rsidR="0006417F">
              <w:fldChar w:fldCharType="begin"/>
            </w:r>
            <w:r>
              <w:instrText xml:space="preserve"> ADDIN ZOTERO_ITEM CSL_CITATION {"citationID":"1psl8n5gkh","properties":{"formattedCitation":"[24]","plainCitation":"[24]"},"citationItems":[{"id":3,"uris":["http://zotero.org/users/local/5N2pAhfg/items/KVERMFS3"],"uri":["http://zotero.org/users/local/5N2pAhfg/items/KVERMFS3"],"itemData":{"id":3,"type":"article-journal","title":"Tuberculosis in household contacts of multidrug-resistant tuberculosis patients","container-title":"The International Journal of Tuberculosis and Lung Disease: The Official Journal of the International Union Against Tuberculosis and Lung Disease","page":"1164-1169, i","volume":"15","issue":"9","source":"NCBI PubMed","abstract":"SETTING: The burden of tuberculosis (TB) disease among household contacts of multidrug-resistant TB (MDR-TB) patients is poorly understood and might represent a target for transmission-interrupting interventions.\nDESIGN: This retrospective cohort study, conducted in Lima, Peru, from June to September 2008, estimated the incidence of TB disease among household contacts of MDR-TB patients in 358 households.\nRESULTS: Of 2112 household contacts in 80 households (22% of households), 108 (5%) developed TB disease during the study, giving an incidence rate of 2360 per 100 000 contact follow-up years for each of the first 3 years after exposure. Drug susceptibility tests (DST) were available for 50 diseased contacts, of whom 36 (80%) had MDR-TB. Forty-two pairs of index-contact DSTs were available, among which the contact had an identical or less resistant phenotype than the index case in 27 pairs. Multivariate Cox regression demonstrated that male contacts (hazard ratio [HR] 2.8, P &lt; 0.05), with previous TB disease (HR 20.7, P &lt; 0.001) and with associated (non-human immunodeficiency virus) comorbidities (HR 11.2, P &lt; 0.001) were more likely to develop TB.\nCONCLUSION: The high percentage of diseased household contacts highlights an opportunity for household-level interventions to prevent transmission, whether or not these cases were all attributable to the index case.","DOI":"10.5588/ijtld.11.0030","ISSN":"1815-7920","note":"PMID: 21943839","journalAbbreviation":"Int. J. Tuberc. Lung Dis.","language":"eng","author":[{"family":"Grandjean","given":"L."},{"family":"Crossa","given":"A."},{"family":"Gilman","given":"R. H."},{"family":"Herrera","given":"C."},{"family":"Bonilla","given":"C."},{"family":"Jave","given":"O."},{"family":"Cabrera","given":"J. L."},{"family":"Martin","given":"L."},{"family":"Escombe","given":"A. R."},{"family":"Moore","given":"D. a. J."}],"issued":{"date-parts":[["2011",9]]},"PMID":"21943839"}}],"schema":"https://github.com/citation-style-language/schema/raw/master/csl-citation.json"} </w:instrText>
            </w:r>
            <w:r w:rsidR="0006417F">
              <w:fldChar w:fldCharType="separate"/>
            </w:r>
            <w:r w:rsidRPr="00037F0F">
              <w:rPr>
                <w:rFonts w:ascii="Calibri" w:hAnsi="Calibri"/>
              </w:rPr>
              <w:t>[24]</w:t>
            </w:r>
            <w:r w:rsidR="0006417F">
              <w:fldChar w:fldCharType="end"/>
            </w:r>
            <w:r>
              <w:t xml:space="preserve"> and the disease yield among drug susceptible contacts in this study is very similar to those reported elsewhere </w:t>
            </w:r>
            <w:r w:rsidR="0006417F">
              <w:fldChar w:fldCharType="begin"/>
            </w:r>
            <w:r>
              <w:instrText xml:space="preserve"> ADDIN ZOTERO_ITEM CSL_CITATION {"citationID":"2kd8itqgo1","properties":{"formattedCitation":"[18]","plainCitation":"[18]"},"citationItems":[{"id":5,"uris":["http://zotero.org/users/local/5N2pAhfg/items/69CQXMTQ"],"uri":["http://zotero.org/users/local/5N2pAhfg/items/69CQXMTQ"],"itemData":{"id":5,"type":"article-journal","title":"Tuberculosis and latent tuberculosis infection in close contacts of people with pulmonary tuberculosis in low-income and middle-income countries: a systematic review and meta-analysis","container-title":"The Lancet. Infectious Diseases","page":"359-368","volume":"8","issue":"6","source":"NCBI PubMed","abstract":"Investigation of people exposed to cases of infectious tuberculosis (contact investigation) is key to tuberculosis control in countries with low tuberculosis incidence. However, in countries in which the incidence of tuberculosis is high, contact investigation is not commonly done. Increasing concerns about the failure to meet case-detection targets and about the spread of drug-resistant Mycobacterium tuberculosis have prompted a reassessment of the potential benefits of contact investigation. We did a systematic review to determine the yield of household contact investigation. The yield for all tuberculosis (bacteriologically confirmed and clinically diagnosed) was 4.5% (95% CI 4.3-4.8, I(2)=95.5%) of contacts investigated; for cases with bacteriological confirmation the yield was 2.3% (95% CI 2.1-2.5, I(2)=96.6%). Latent tuberculosis infection was found in 51.4% (95% CI 50.6-52.2, I(2)=99.4%) of contacts investigated. The substantial heterogeneity in all analyses indicated high variability among studies that was not accounted for by subgroup analyses. These results suggest that contact investigation merits serious consideration as a means to improve early case detection and decrease transmission of M tuberculosis in high-incidence areas.","DOI":"10.1016/S1473-3099(08)70071-9","ISSN":"1473-3099","note":"PMID: 18450516","shortTitle":"Tuberculosis and latent tuberculosis infection in close contacts of people with pulmonary tuberculosis in low-income and middle-income countries","journalAbbreviation":"Lancet Infect Dis","language":"eng","author":[{"family":"Morrison","given":"Janina"},{"family":"Pai","given":"Madhukar"},{"family":"Hopewell","given":"Philip C."}],"issued":{"date-parts":[["2008",6]]},"PMID":"18450516"}}],"schema":"https://github.com/citation-style-language/schema/raw/master/csl-citation.json"} </w:instrText>
            </w:r>
            <w:r w:rsidR="0006417F">
              <w:fldChar w:fldCharType="separate"/>
            </w:r>
            <w:r w:rsidRPr="00037F0F">
              <w:rPr>
                <w:rFonts w:ascii="Calibri" w:hAnsi="Calibri"/>
              </w:rPr>
              <w:t>[18]</w:t>
            </w:r>
            <w:r w:rsidR="0006417F">
              <w:fldChar w:fldCharType="end"/>
            </w:r>
            <w:r>
              <w:t>.</w:t>
            </w:r>
          </w:p>
          <w:p w:rsidR="00E33D4E" w:rsidRDefault="00E33D4E" w:rsidP="00191A23">
            <w:pPr>
              <w:tabs>
                <w:tab w:val="left" w:pos="5400"/>
              </w:tabs>
            </w:pPr>
          </w:p>
          <w:p w:rsidR="00E33D4E" w:rsidRDefault="00E33D4E" w:rsidP="00191A23">
            <w:pPr>
              <w:tabs>
                <w:tab w:val="left" w:pos="5400"/>
              </w:tabs>
            </w:pPr>
            <w:r>
              <w:t xml:space="preserve">The most recently published survey by the World Health Organization </w:t>
            </w:r>
            <w:r w:rsidR="0006417F">
              <w:fldChar w:fldCharType="begin"/>
            </w:r>
            <w:r>
              <w:instrText xml:space="preserve"> ADDIN ZOTERO_ITEM CSL_CITATION {"citationID":"14gp7v8fso","properties":{"formattedCitation":"[20]","plainCitation":"[20]"},"citationItems":[{"id":7,"uris":["http://zotero.org/users/local/5N2pAhfg/items/23SDDS8U"],"uri":["http://zotero.org/users/local/5N2pAhfg/items/23SDDS8U"],"itemData":{"id":7,"type":"webpage","title":"WHO | Global tuberculosis report 2014","container-title":"WHO","abstract":"Tuberculosis (TB): The global report on tuberculosis provides a comprehensive assessment of the tuberculosis epidemic and progress in implementing and ﬁnancing prevention, care and control.","URL":"http://www.who.int/tb/publications/global_report/en/","accessed":{"date-parts":[["2014",12,5]]}}}],"schema":"https://github.com/citation-style-language/schema/raw/master/csl-citation.json"} </w:instrText>
            </w:r>
            <w:r w:rsidR="0006417F">
              <w:fldChar w:fldCharType="separate"/>
            </w:r>
            <w:r w:rsidRPr="00037F0F">
              <w:rPr>
                <w:rFonts w:ascii="Calibri" w:hAnsi="Calibri"/>
              </w:rPr>
              <w:t>[20]</w:t>
            </w:r>
            <w:r w:rsidR="0006417F">
              <w:fldChar w:fldCharType="end"/>
            </w:r>
            <w:r>
              <w:t xml:space="preserve"> in October 2014 supports our findings demonstrating that globally the proportion of new cases of MDRTB has not changed between 2008-2013 remaining at 3.5% of new cases.</w:t>
            </w:r>
          </w:p>
          <w:p w:rsidR="00E33D4E" w:rsidRDefault="00E33D4E" w:rsidP="00191A23">
            <w:pPr>
              <w:tabs>
                <w:tab w:val="left" w:pos="5400"/>
              </w:tabs>
            </w:pPr>
          </w:p>
          <w:p w:rsidR="00191A23" w:rsidRPr="0022554A" w:rsidRDefault="00191A23" w:rsidP="00191A23">
            <w:pPr>
              <w:tabs>
                <w:tab w:val="left" w:pos="5400"/>
              </w:tabs>
              <w:rPr>
                <w:sz w:val="20"/>
              </w:rPr>
            </w:pPr>
          </w:p>
        </w:tc>
      </w:tr>
      <w:tr w:rsidR="00191A23" w:rsidRPr="0022554A" w:rsidTr="00E33D4E">
        <w:tc>
          <w:tcPr>
            <w:tcW w:w="0" w:type="auto"/>
          </w:tcPr>
          <w:p w:rsidR="00191A23" w:rsidRPr="0022554A" w:rsidRDefault="00191A23" w:rsidP="00191A23">
            <w:pPr>
              <w:tabs>
                <w:tab w:val="left" w:pos="5400"/>
              </w:tabs>
              <w:rPr>
                <w:bCs/>
                <w:sz w:val="20"/>
              </w:rPr>
            </w:pPr>
            <w:bookmarkStart w:id="90" w:name="italic48" w:colFirst="0" w:colLast="0"/>
            <w:bookmarkStart w:id="91" w:name="bold49" w:colFirst="0" w:colLast="0"/>
            <w:bookmarkEnd w:id="88"/>
            <w:bookmarkEnd w:id="89"/>
            <w:proofErr w:type="spellStart"/>
            <w:r w:rsidRPr="0022554A">
              <w:rPr>
                <w:bCs/>
                <w:sz w:val="20"/>
              </w:rPr>
              <w:lastRenderedPageBreak/>
              <w:t>Generalisability</w:t>
            </w:r>
            <w:proofErr w:type="spellEnd"/>
          </w:p>
        </w:tc>
        <w:tc>
          <w:tcPr>
            <w:tcW w:w="0" w:type="auto"/>
          </w:tcPr>
          <w:p w:rsidR="00191A23" w:rsidRPr="0022554A" w:rsidRDefault="00191A23" w:rsidP="00191A23">
            <w:pPr>
              <w:tabs>
                <w:tab w:val="left" w:pos="5400"/>
              </w:tabs>
              <w:jc w:val="center"/>
              <w:rPr>
                <w:sz w:val="20"/>
              </w:rPr>
            </w:pPr>
            <w:r w:rsidRPr="0022554A">
              <w:rPr>
                <w:sz w:val="20"/>
              </w:rPr>
              <w:t>21</w:t>
            </w:r>
          </w:p>
        </w:tc>
        <w:tc>
          <w:tcPr>
            <w:tcW w:w="5001" w:type="dxa"/>
          </w:tcPr>
          <w:p w:rsidR="00191A23" w:rsidRPr="0022554A" w:rsidRDefault="00191A23" w:rsidP="00191A23">
            <w:pPr>
              <w:tabs>
                <w:tab w:val="left" w:pos="5400"/>
              </w:tabs>
              <w:rPr>
                <w:sz w:val="20"/>
              </w:rPr>
            </w:pPr>
            <w:r w:rsidRPr="0022554A">
              <w:rPr>
                <w:sz w:val="20"/>
              </w:rPr>
              <w:t xml:space="preserve">Discuss the </w:t>
            </w:r>
            <w:proofErr w:type="spellStart"/>
            <w:r w:rsidRPr="0022554A">
              <w:rPr>
                <w:sz w:val="20"/>
              </w:rPr>
              <w:t>generalisability</w:t>
            </w:r>
            <w:proofErr w:type="spellEnd"/>
            <w:r w:rsidRPr="0022554A">
              <w:rPr>
                <w:sz w:val="20"/>
              </w:rPr>
              <w:t xml:space="preserve"> (external validity) of the study results</w:t>
            </w:r>
          </w:p>
        </w:tc>
        <w:tc>
          <w:tcPr>
            <w:tcW w:w="993" w:type="dxa"/>
          </w:tcPr>
          <w:p w:rsidR="00191A23" w:rsidRPr="0022554A" w:rsidRDefault="005B4506" w:rsidP="00191A23">
            <w:pPr>
              <w:tabs>
                <w:tab w:val="left" w:pos="5400"/>
              </w:tabs>
              <w:rPr>
                <w:sz w:val="20"/>
              </w:rPr>
            </w:pPr>
            <w:r>
              <w:rPr>
                <w:sz w:val="20"/>
              </w:rPr>
              <w:t xml:space="preserve">Discussion Paragraph </w:t>
            </w:r>
            <w:r w:rsidR="00250E70">
              <w:rPr>
                <w:sz w:val="20"/>
              </w:rPr>
              <w:t xml:space="preserve"> 4</w:t>
            </w:r>
          </w:p>
        </w:tc>
        <w:tc>
          <w:tcPr>
            <w:tcW w:w="7087" w:type="dxa"/>
          </w:tcPr>
          <w:p w:rsidR="00E33D4E" w:rsidRDefault="008B4CF9" w:rsidP="00E33D4E">
            <w:r>
              <w:t>The fitness of MDRTB estimated here must also be taken in the context of the national tuberculosis control program and the household follow-up study design. This may limit the extrapolation of these findings to other countries, particularly when considering outbreaks in the community or prisons where conditions may favour the spread of MDRTB. Contacts outside the house may come into contact with and be infected by the index case at any stage during the infectious period (which because of delays in diagnosis is longer for MDRTB patients), while contacts inside the house because of frequent exposure are more likely to be infected earlier in the infectious period. This factor could increase the number of second cases and hence MDRTB fit</w:t>
            </w:r>
            <w:r w:rsidR="000E143B">
              <w:t>ness estimates in the community</w:t>
            </w:r>
            <w:r w:rsidR="00E33D4E">
              <w:t xml:space="preserve">.  </w:t>
            </w:r>
          </w:p>
          <w:p w:rsidR="00191A23" w:rsidRPr="0022554A" w:rsidRDefault="00191A23" w:rsidP="00191A23">
            <w:pPr>
              <w:tabs>
                <w:tab w:val="left" w:pos="5400"/>
              </w:tabs>
              <w:rPr>
                <w:sz w:val="20"/>
              </w:rPr>
            </w:pPr>
          </w:p>
        </w:tc>
      </w:tr>
      <w:tr w:rsidR="00191A23" w:rsidRPr="0022554A" w:rsidTr="00E33D4E">
        <w:tc>
          <w:tcPr>
            <w:tcW w:w="1911" w:type="dxa"/>
            <w:gridSpan w:val="2"/>
          </w:tcPr>
          <w:p w:rsidR="00191A23" w:rsidRPr="0022554A" w:rsidRDefault="00191A23" w:rsidP="00191A23">
            <w:pPr>
              <w:pStyle w:val="TableSubHead"/>
              <w:tabs>
                <w:tab w:val="left" w:pos="5400"/>
              </w:tabs>
              <w:rPr>
                <w:sz w:val="20"/>
              </w:rPr>
            </w:pPr>
            <w:bookmarkStart w:id="92" w:name="italic49"/>
            <w:bookmarkStart w:id="93" w:name="bold50"/>
            <w:bookmarkEnd w:id="90"/>
            <w:bookmarkEnd w:id="91"/>
            <w:r w:rsidRPr="0022554A">
              <w:rPr>
                <w:sz w:val="20"/>
              </w:rPr>
              <w:t>Other information</w:t>
            </w:r>
          </w:p>
        </w:tc>
        <w:bookmarkEnd w:id="92"/>
        <w:bookmarkEnd w:id="93"/>
        <w:tc>
          <w:tcPr>
            <w:tcW w:w="13081" w:type="dxa"/>
            <w:gridSpan w:val="3"/>
          </w:tcPr>
          <w:p w:rsidR="00191A23" w:rsidRPr="0022554A" w:rsidRDefault="00191A23" w:rsidP="00191A23">
            <w:pPr>
              <w:pStyle w:val="TableSubHead"/>
              <w:tabs>
                <w:tab w:val="left" w:pos="5400"/>
              </w:tabs>
              <w:rPr>
                <w:sz w:val="20"/>
              </w:rPr>
            </w:pPr>
          </w:p>
        </w:tc>
      </w:tr>
      <w:tr w:rsidR="00191A23" w:rsidRPr="0022554A" w:rsidTr="00E33D4E">
        <w:tc>
          <w:tcPr>
            <w:tcW w:w="0" w:type="auto"/>
          </w:tcPr>
          <w:p w:rsidR="00191A23" w:rsidRPr="0022554A" w:rsidRDefault="00191A23" w:rsidP="00191A23">
            <w:pPr>
              <w:tabs>
                <w:tab w:val="left" w:pos="5400"/>
              </w:tabs>
              <w:rPr>
                <w:bCs/>
                <w:sz w:val="20"/>
              </w:rPr>
            </w:pPr>
            <w:bookmarkStart w:id="94" w:name="italic50" w:colFirst="0" w:colLast="0"/>
            <w:bookmarkStart w:id="95" w:name="bold51" w:colFirst="0" w:colLast="0"/>
            <w:r w:rsidRPr="0022554A">
              <w:rPr>
                <w:bCs/>
                <w:sz w:val="20"/>
              </w:rPr>
              <w:t>Funding</w:t>
            </w:r>
          </w:p>
        </w:tc>
        <w:tc>
          <w:tcPr>
            <w:tcW w:w="0" w:type="auto"/>
          </w:tcPr>
          <w:p w:rsidR="00191A23" w:rsidRPr="0022554A" w:rsidRDefault="00191A23" w:rsidP="00191A23">
            <w:pPr>
              <w:tabs>
                <w:tab w:val="left" w:pos="5400"/>
              </w:tabs>
              <w:jc w:val="center"/>
              <w:rPr>
                <w:sz w:val="20"/>
              </w:rPr>
            </w:pPr>
            <w:r w:rsidRPr="0022554A">
              <w:rPr>
                <w:sz w:val="20"/>
              </w:rPr>
              <w:t>22</w:t>
            </w:r>
          </w:p>
        </w:tc>
        <w:tc>
          <w:tcPr>
            <w:tcW w:w="5001" w:type="dxa"/>
          </w:tcPr>
          <w:p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993" w:type="dxa"/>
          </w:tcPr>
          <w:p w:rsidR="00191A23" w:rsidRPr="0022554A" w:rsidRDefault="005B4506" w:rsidP="00191A23">
            <w:pPr>
              <w:tabs>
                <w:tab w:val="left" w:pos="5400"/>
              </w:tabs>
              <w:rPr>
                <w:sz w:val="20"/>
              </w:rPr>
            </w:pPr>
            <w:r>
              <w:rPr>
                <w:sz w:val="20"/>
              </w:rPr>
              <w:t>Online documentation</w:t>
            </w:r>
          </w:p>
        </w:tc>
        <w:tc>
          <w:tcPr>
            <w:tcW w:w="7087" w:type="dxa"/>
          </w:tcPr>
          <w:p w:rsidR="00E33D4E" w:rsidRPr="00BD3A97" w:rsidRDefault="00E33D4E" w:rsidP="00E33D4E">
            <w:r>
              <w:t>Funding was provided by t</w:t>
            </w:r>
            <w:r w:rsidRPr="00BD3A97">
              <w:t xml:space="preserve">he </w:t>
            </w:r>
            <w:proofErr w:type="spellStart"/>
            <w:r w:rsidRPr="00BD3A97">
              <w:t>Wellcome</w:t>
            </w:r>
            <w:proofErr w:type="spellEnd"/>
            <w:r w:rsidRPr="00BD3A97">
              <w:t xml:space="preserve"> Trust</w:t>
            </w:r>
            <w:r>
              <w:t>,</w:t>
            </w:r>
            <w:r w:rsidRPr="00BD3A97">
              <w:t xml:space="preserve"> </w:t>
            </w:r>
            <w:r>
              <w:t xml:space="preserve">grant number </w:t>
            </w:r>
            <w:r w:rsidRPr="00BD3A97">
              <w:t>WT088559MA</w:t>
            </w:r>
            <w:r>
              <w:t xml:space="preserve"> (www.wellcome.ac.uk). </w:t>
            </w:r>
            <w:r w:rsidRPr="00D91C0E">
              <w:t>The funders had no role in study design, data collection and analysis, decision to publish, or</w:t>
            </w:r>
            <w:r>
              <w:t xml:space="preserve"> preparation of the manuscript.</w:t>
            </w:r>
          </w:p>
          <w:p w:rsidR="00191A23" w:rsidRPr="0022554A" w:rsidRDefault="00191A23" w:rsidP="00191A23">
            <w:pPr>
              <w:tabs>
                <w:tab w:val="left" w:pos="5400"/>
              </w:tabs>
              <w:rPr>
                <w:sz w:val="20"/>
              </w:rPr>
            </w:pPr>
          </w:p>
        </w:tc>
      </w:tr>
      <w:bookmarkEnd w:id="94"/>
      <w:bookmarkEnd w:id="95"/>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w:t>
      </w:r>
      <w:bookmarkStart w:id="96" w:name="_GoBack"/>
      <w:bookmarkEnd w:id="96"/>
      <w:r w:rsidRPr="002602FB">
        <w:rPr>
          <w:sz w:val="20"/>
        </w:rPr>
        <w:t>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7DD" w:rsidRDefault="00A647DD">
      <w:r>
        <w:separator/>
      </w:r>
    </w:p>
  </w:endnote>
  <w:endnote w:type="continuationSeparator" w:id="0">
    <w:p w:rsidR="00A647DD" w:rsidRDefault="00A647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BE4" w:rsidRDefault="0006417F" w:rsidP="00A13C96">
    <w:pPr>
      <w:pStyle w:val="Footer"/>
      <w:framePr w:wrap="around" w:vAnchor="text" w:hAnchor="margin" w:xAlign="center" w:y="1"/>
      <w:rPr>
        <w:rStyle w:val="PageNumber"/>
      </w:rPr>
    </w:pPr>
    <w:r>
      <w:rPr>
        <w:rStyle w:val="PageNumber"/>
      </w:rPr>
      <w:fldChar w:fldCharType="begin"/>
    </w:r>
    <w:r w:rsidR="00831BE4">
      <w:rPr>
        <w:rStyle w:val="PageNumber"/>
      </w:rPr>
      <w:instrText xml:space="preserve">PAGE  </w:instrText>
    </w:r>
    <w:r>
      <w:rPr>
        <w:rStyle w:val="PageNumber"/>
      </w:rPr>
      <w:fldChar w:fldCharType="end"/>
    </w:r>
  </w:p>
  <w:p w:rsidR="00831BE4" w:rsidRDefault="00831BE4" w:rsidP="005D0C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BE4" w:rsidRDefault="0006417F" w:rsidP="007F7FA0">
    <w:pPr>
      <w:pStyle w:val="Footer"/>
      <w:framePr w:wrap="around" w:vAnchor="text" w:hAnchor="margin" w:xAlign="center" w:y="1"/>
      <w:rPr>
        <w:rStyle w:val="PageNumber"/>
      </w:rPr>
    </w:pPr>
    <w:r>
      <w:rPr>
        <w:rStyle w:val="PageNumber"/>
      </w:rPr>
      <w:fldChar w:fldCharType="begin"/>
    </w:r>
    <w:r w:rsidR="00831BE4">
      <w:rPr>
        <w:rStyle w:val="PageNumber"/>
      </w:rPr>
      <w:instrText xml:space="preserve">PAGE  </w:instrText>
    </w:r>
    <w:r>
      <w:rPr>
        <w:rStyle w:val="PageNumber"/>
      </w:rPr>
      <w:fldChar w:fldCharType="separate"/>
    </w:r>
    <w:r w:rsidR="00250E70">
      <w:rPr>
        <w:rStyle w:val="PageNumber"/>
        <w:noProof/>
      </w:rPr>
      <w:t>13</w:t>
    </w:r>
    <w:r>
      <w:rPr>
        <w:rStyle w:val="PageNumber"/>
      </w:rPr>
      <w:fldChar w:fldCharType="end"/>
    </w:r>
  </w:p>
  <w:p w:rsidR="00831BE4" w:rsidRDefault="00831BE4" w:rsidP="005D0C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7DD" w:rsidRDefault="00A647DD">
      <w:r>
        <w:separator/>
      </w:r>
    </w:p>
  </w:footnote>
  <w:footnote w:type="continuationSeparator" w:id="0">
    <w:p w:rsidR="00A647DD" w:rsidRDefault="00A647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attachedTemplate r:id="rId1"/>
  <w:linkStyle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D1ABE"/>
    <w:rsid w:val="00002974"/>
    <w:rsid w:val="00005F0F"/>
    <w:rsid w:val="00017C2B"/>
    <w:rsid w:val="00023515"/>
    <w:rsid w:val="0002554E"/>
    <w:rsid w:val="0006417F"/>
    <w:rsid w:val="00093E3A"/>
    <w:rsid w:val="000B1D56"/>
    <w:rsid w:val="000B6FD4"/>
    <w:rsid w:val="000E143B"/>
    <w:rsid w:val="000E3193"/>
    <w:rsid w:val="000E691B"/>
    <w:rsid w:val="000F26ED"/>
    <w:rsid w:val="000F43E0"/>
    <w:rsid w:val="0010065D"/>
    <w:rsid w:val="00110BFB"/>
    <w:rsid w:val="0012460A"/>
    <w:rsid w:val="00134AAC"/>
    <w:rsid w:val="00191A23"/>
    <w:rsid w:val="001A495C"/>
    <w:rsid w:val="001A75E9"/>
    <w:rsid w:val="001E02AD"/>
    <w:rsid w:val="001F2F5A"/>
    <w:rsid w:val="00201CA4"/>
    <w:rsid w:val="0021265E"/>
    <w:rsid w:val="00215E03"/>
    <w:rsid w:val="00224268"/>
    <w:rsid w:val="0022554A"/>
    <w:rsid w:val="00226A29"/>
    <w:rsid w:val="00250E70"/>
    <w:rsid w:val="002552FD"/>
    <w:rsid w:val="002602FB"/>
    <w:rsid w:val="002B306E"/>
    <w:rsid w:val="002B385C"/>
    <w:rsid w:val="002C731D"/>
    <w:rsid w:val="002D06D0"/>
    <w:rsid w:val="002D1ABE"/>
    <w:rsid w:val="002F1A87"/>
    <w:rsid w:val="002F7C17"/>
    <w:rsid w:val="003110CA"/>
    <w:rsid w:val="003354B7"/>
    <w:rsid w:val="00341446"/>
    <w:rsid w:val="003508EF"/>
    <w:rsid w:val="00372129"/>
    <w:rsid w:val="00385050"/>
    <w:rsid w:val="003A17C3"/>
    <w:rsid w:val="003A3FDD"/>
    <w:rsid w:val="00404D2C"/>
    <w:rsid w:val="004060E6"/>
    <w:rsid w:val="00407BEA"/>
    <w:rsid w:val="004243C8"/>
    <w:rsid w:val="0045419E"/>
    <w:rsid w:val="0045734B"/>
    <w:rsid w:val="00465542"/>
    <w:rsid w:val="00472DF5"/>
    <w:rsid w:val="00495204"/>
    <w:rsid w:val="004A31B3"/>
    <w:rsid w:val="004A32C8"/>
    <w:rsid w:val="004E1263"/>
    <w:rsid w:val="00503A5E"/>
    <w:rsid w:val="005044A6"/>
    <w:rsid w:val="00517788"/>
    <w:rsid w:val="00530514"/>
    <w:rsid w:val="00590F64"/>
    <w:rsid w:val="005923E5"/>
    <w:rsid w:val="005A706E"/>
    <w:rsid w:val="005B4506"/>
    <w:rsid w:val="005B567D"/>
    <w:rsid w:val="005D0CFC"/>
    <w:rsid w:val="005D19F4"/>
    <w:rsid w:val="005F254A"/>
    <w:rsid w:val="006149D3"/>
    <w:rsid w:val="0061575F"/>
    <w:rsid w:val="0065657F"/>
    <w:rsid w:val="00666336"/>
    <w:rsid w:val="00683E42"/>
    <w:rsid w:val="006960CA"/>
    <w:rsid w:val="006A2F18"/>
    <w:rsid w:val="006A5DD9"/>
    <w:rsid w:val="006B2915"/>
    <w:rsid w:val="006B56D7"/>
    <w:rsid w:val="006C0B63"/>
    <w:rsid w:val="006C7601"/>
    <w:rsid w:val="006D16AA"/>
    <w:rsid w:val="006F66AC"/>
    <w:rsid w:val="00701AC5"/>
    <w:rsid w:val="00711D81"/>
    <w:rsid w:val="00732B98"/>
    <w:rsid w:val="00737C91"/>
    <w:rsid w:val="0074576C"/>
    <w:rsid w:val="00754BA5"/>
    <w:rsid w:val="007562C3"/>
    <w:rsid w:val="007C72F6"/>
    <w:rsid w:val="007E70E2"/>
    <w:rsid w:val="007F7FA0"/>
    <w:rsid w:val="00806241"/>
    <w:rsid w:val="00816966"/>
    <w:rsid w:val="00817D26"/>
    <w:rsid w:val="00821CD4"/>
    <w:rsid w:val="00831BE4"/>
    <w:rsid w:val="008423A7"/>
    <w:rsid w:val="008440CC"/>
    <w:rsid w:val="0089107E"/>
    <w:rsid w:val="00891604"/>
    <w:rsid w:val="008B4CF9"/>
    <w:rsid w:val="008D225B"/>
    <w:rsid w:val="008D5E22"/>
    <w:rsid w:val="00921BF8"/>
    <w:rsid w:val="009367F9"/>
    <w:rsid w:val="009642BE"/>
    <w:rsid w:val="00976EE1"/>
    <w:rsid w:val="009872CC"/>
    <w:rsid w:val="009B10F1"/>
    <w:rsid w:val="009B368D"/>
    <w:rsid w:val="009C24D4"/>
    <w:rsid w:val="009E0429"/>
    <w:rsid w:val="009F5211"/>
    <w:rsid w:val="00A13C96"/>
    <w:rsid w:val="00A42352"/>
    <w:rsid w:val="00A527E4"/>
    <w:rsid w:val="00A54308"/>
    <w:rsid w:val="00A5640D"/>
    <w:rsid w:val="00A647DD"/>
    <w:rsid w:val="00A729D6"/>
    <w:rsid w:val="00A743BE"/>
    <w:rsid w:val="00A938BF"/>
    <w:rsid w:val="00AB7BC4"/>
    <w:rsid w:val="00AD64AC"/>
    <w:rsid w:val="00AE23EB"/>
    <w:rsid w:val="00AE2C57"/>
    <w:rsid w:val="00AF4615"/>
    <w:rsid w:val="00AF4B5B"/>
    <w:rsid w:val="00B50DF8"/>
    <w:rsid w:val="00B54EA0"/>
    <w:rsid w:val="00B60EFB"/>
    <w:rsid w:val="00B65366"/>
    <w:rsid w:val="00B77807"/>
    <w:rsid w:val="00B940E9"/>
    <w:rsid w:val="00BA1206"/>
    <w:rsid w:val="00BA5CAE"/>
    <w:rsid w:val="00BC7FE6"/>
    <w:rsid w:val="00BE3709"/>
    <w:rsid w:val="00CA489B"/>
    <w:rsid w:val="00CB6CC8"/>
    <w:rsid w:val="00CC4C93"/>
    <w:rsid w:val="00D120D2"/>
    <w:rsid w:val="00D20D7C"/>
    <w:rsid w:val="00D244DE"/>
    <w:rsid w:val="00D26FCA"/>
    <w:rsid w:val="00D3644A"/>
    <w:rsid w:val="00D6407C"/>
    <w:rsid w:val="00D87AF7"/>
    <w:rsid w:val="00DA120C"/>
    <w:rsid w:val="00DC4BEF"/>
    <w:rsid w:val="00E10628"/>
    <w:rsid w:val="00E144CD"/>
    <w:rsid w:val="00E2292B"/>
    <w:rsid w:val="00E33D4E"/>
    <w:rsid w:val="00E341E9"/>
    <w:rsid w:val="00E81568"/>
    <w:rsid w:val="00EA6E28"/>
    <w:rsid w:val="00EA73B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uiPriority w:val="20"/>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1758</TotalTime>
  <Pages>13</Pages>
  <Words>9249</Words>
  <Characters>52724</Characters>
  <Application>Microsoft Office Word</Application>
  <DocSecurity>0</DocSecurity>
  <Lines>439</Lines>
  <Paragraphs>123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61850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Louis</cp:lastModifiedBy>
  <cp:revision>17</cp:revision>
  <cp:lastPrinted>2014-09-01T08:36:00Z</cp:lastPrinted>
  <dcterms:created xsi:type="dcterms:W3CDTF">2015-03-02T00:14:00Z</dcterms:created>
  <dcterms:modified xsi:type="dcterms:W3CDTF">2015-05-09T20:14:00Z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