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56" w:rsidRDefault="00C364E3" w:rsidP="002A2943">
      <w:pPr>
        <w:spacing w:after="0" w:line="240" w:lineRule="auto"/>
        <w:rPr>
          <w:sz w:val="22"/>
          <w:szCs w:val="22"/>
          <w:vertAlign w:val="superscript"/>
        </w:rPr>
      </w:pPr>
      <w:bookmarkStart w:id="0" w:name="_GoBack"/>
      <w:bookmarkEnd w:id="0"/>
      <w:proofErr w:type="gramStart"/>
      <w:r>
        <w:rPr>
          <w:b/>
          <w:sz w:val="22"/>
          <w:szCs w:val="22"/>
        </w:rPr>
        <w:t xml:space="preserve">S6 </w:t>
      </w:r>
      <w:r w:rsidR="00F82C56" w:rsidRPr="00570268">
        <w:rPr>
          <w:b/>
          <w:sz w:val="22"/>
          <w:szCs w:val="22"/>
        </w:rPr>
        <w:t>Table.</w:t>
      </w:r>
      <w:proofErr w:type="gramEnd"/>
      <w:r w:rsidR="00F82C56" w:rsidRPr="00570268">
        <w:rPr>
          <w:sz w:val="22"/>
          <w:szCs w:val="22"/>
        </w:rPr>
        <w:t xml:space="preserve"> Association of Healthy Eating Index (HEI)-20</w:t>
      </w:r>
      <w:r w:rsidR="00F82C56">
        <w:rPr>
          <w:sz w:val="22"/>
          <w:szCs w:val="22"/>
        </w:rPr>
        <w:t>05</w:t>
      </w:r>
      <w:r w:rsidR="00F82C56" w:rsidRPr="00570268">
        <w:rPr>
          <w:sz w:val="22"/>
          <w:szCs w:val="22"/>
        </w:rPr>
        <w:t xml:space="preserve"> and </w:t>
      </w:r>
      <w:r w:rsidR="00F82C56">
        <w:rPr>
          <w:sz w:val="22"/>
          <w:szCs w:val="22"/>
        </w:rPr>
        <w:t>t</w:t>
      </w:r>
      <w:r w:rsidR="00F82C56" w:rsidRPr="00570268">
        <w:rPr>
          <w:sz w:val="22"/>
          <w:szCs w:val="22"/>
        </w:rPr>
        <w:t xml:space="preserve">otal </w:t>
      </w:r>
      <w:r w:rsidR="00F82C56">
        <w:rPr>
          <w:sz w:val="22"/>
          <w:szCs w:val="22"/>
        </w:rPr>
        <w:t>d</w:t>
      </w:r>
      <w:r w:rsidR="00F82C56" w:rsidRPr="00570268">
        <w:rPr>
          <w:sz w:val="22"/>
          <w:szCs w:val="22"/>
        </w:rPr>
        <w:t xml:space="preserve">isease </w:t>
      </w:r>
      <w:r w:rsidR="00F82C56">
        <w:rPr>
          <w:sz w:val="22"/>
          <w:szCs w:val="22"/>
        </w:rPr>
        <w:t>m</w:t>
      </w:r>
      <w:r w:rsidR="00F82C56" w:rsidRPr="00570268">
        <w:rPr>
          <w:sz w:val="22"/>
          <w:szCs w:val="22"/>
        </w:rPr>
        <w:t xml:space="preserve">ortality by </w:t>
      </w:r>
      <w:r w:rsidR="00F82C56">
        <w:rPr>
          <w:sz w:val="22"/>
          <w:szCs w:val="22"/>
        </w:rPr>
        <w:t>s</w:t>
      </w:r>
      <w:r w:rsidR="00F82C56" w:rsidRPr="00570268">
        <w:rPr>
          <w:sz w:val="22"/>
          <w:szCs w:val="22"/>
        </w:rPr>
        <w:t xml:space="preserve">ex, </w:t>
      </w:r>
      <w:r w:rsidR="00F82C56">
        <w:rPr>
          <w:sz w:val="22"/>
          <w:szCs w:val="22"/>
        </w:rPr>
        <w:t>r</w:t>
      </w:r>
      <w:r w:rsidR="00F82C56" w:rsidRPr="00570268">
        <w:rPr>
          <w:sz w:val="22"/>
          <w:szCs w:val="22"/>
        </w:rPr>
        <w:t xml:space="preserve">ace, and </w:t>
      </w:r>
      <w:r w:rsidR="00F82C56">
        <w:rPr>
          <w:sz w:val="22"/>
          <w:szCs w:val="22"/>
        </w:rPr>
        <w:t>i</w:t>
      </w:r>
      <w:r w:rsidR="00F82C56" w:rsidRPr="00570268">
        <w:rPr>
          <w:sz w:val="22"/>
          <w:szCs w:val="22"/>
        </w:rPr>
        <w:t>ncome in the Southern Community Cohort Study, 2002-2011</w:t>
      </w:r>
      <w:r w:rsidR="00F82C56" w:rsidRPr="00570268">
        <w:rPr>
          <w:sz w:val="22"/>
          <w:szCs w:val="22"/>
          <w:vertAlign w:val="superscript"/>
        </w:rPr>
        <w:t>1</w:t>
      </w:r>
    </w:p>
    <w:p w:rsidR="002A2943" w:rsidRPr="002A2943" w:rsidRDefault="002A2943" w:rsidP="002A2943">
      <w:pPr>
        <w:spacing w:after="0" w:line="240" w:lineRule="auto"/>
        <w:rPr>
          <w:sz w:val="22"/>
          <w:szCs w:val="22"/>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1622"/>
        <w:gridCol w:w="1833"/>
        <w:gridCol w:w="1833"/>
        <w:gridCol w:w="1834"/>
        <w:gridCol w:w="1834"/>
        <w:gridCol w:w="983"/>
        <w:gridCol w:w="1243"/>
      </w:tblGrid>
      <w:tr w:rsidR="00F82C56" w:rsidRPr="00F45C10" w:rsidTr="00A41900">
        <w:tc>
          <w:tcPr>
            <w:tcW w:w="757" w:type="pct"/>
            <w:vMerge w:val="restart"/>
            <w:tcBorders>
              <w:top w:val="single" w:sz="4" w:space="0" w:color="auto"/>
              <w:bottom w:val="nil"/>
            </w:tcBorders>
          </w:tcPr>
          <w:p w:rsidR="00F82C56" w:rsidRPr="00F82C56" w:rsidRDefault="00F82C56" w:rsidP="00F82C56">
            <w:pPr>
              <w:rPr>
                <w:b/>
                <w:sz w:val="22"/>
                <w:szCs w:val="22"/>
              </w:rPr>
            </w:pPr>
            <w:r w:rsidRPr="00F82C56">
              <w:rPr>
                <w:b/>
                <w:sz w:val="22"/>
                <w:szCs w:val="22"/>
              </w:rPr>
              <w:t>Populations</w:t>
            </w:r>
          </w:p>
        </w:tc>
        <w:tc>
          <w:tcPr>
            <w:tcW w:w="616" w:type="pct"/>
            <w:vMerge w:val="restart"/>
            <w:tcBorders>
              <w:top w:val="single" w:sz="4" w:space="0" w:color="auto"/>
              <w:bottom w:val="nil"/>
            </w:tcBorders>
          </w:tcPr>
          <w:p w:rsidR="00F82C56" w:rsidRPr="00F82C56" w:rsidRDefault="00F82C56" w:rsidP="00F82C56">
            <w:pPr>
              <w:rPr>
                <w:b/>
                <w:sz w:val="22"/>
                <w:szCs w:val="22"/>
              </w:rPr>
            </w:pPr>
            <w:r w:rsidRPr="00F82C56">
              <w:rPr>
                <w:b/>
                <w:sz w:val="22"/>
                <w:szCs w:val="22"/>
              </w:rPr>
              <w:t>No. of participants (deaths)</w:t>
            </w:r>
          </w:p>
        </w:tc>
        <w:tc>
          <w:tcPr>
            <w:tcW w:w="2783" w:type="pct"/>
            <w:gridSpan w:val="4"/>
            <w:tcBorders>
              <w:top w:val="single" w:sz="4" w:space="0" w:color="auto"/>
              <w:bottom w:val="single" w:sz="4" w:space="0" w:color="auto"/>
            </w:tcBorders>
            <w:vAlign w:val="center"/>
          </w:tcPr>
          <w:p w:rsidR="00F82C56" w:rsidRPr="001309E2" w:rsidRDefault="00F82C56" w:rsidP="001309E2">
            <w:pPr>
              <w:rPr>
                <w:b/>
                <w:sz w:val="22"/>
                <w:szCs w:val="22"/>
              </w:rPr>
            </w:pPr>
            <w:r w:rsidRPr="001309E2">
              <w:rPr>
                <w:b/>
                <w:sz w:val="22"/>
                <w:szCs w:val="22"/>
              </w:rPr>
              <w:t xml:space="preserve">Multivariate HR (95% CI) by Quintiles of </w:t>
            </w:r>
            <w:smartTag w:uri="urn:schemas-microsoft-com:office:smarttags" w:element="stockticker">
              <w:r w:rsidRPr="001309E2">
                <w:rPr>
                  <w:b/>
                  <w:sz w:val="22"/>
                  <w:szCs w:val="22"/>
                </w:rPr>
                <w:t>HEI</w:t>
              </w:r>
            </w:smartTag>
            <w:r w:rsidRPr="001309E2">
              <w:rPr>
                <w:b/>
                <w:sz w:val="22"/>
                <w:szCs w:val="22"/>
              </w:rPr>
              <w:t>-2005, Q1 = referent</w:t>
            </w:r>
          </w:p>
        </w:tc>
        <w:tc>
          <w:tcPr>
            <w:tcW w:w="373" w:type="pct"/>
            <w:vMerge w:val="restart"/>
            <w:tcBorders>
              <w:top w:val="single" w:sz="4" w:space="0" w:color="auto"/>
              <w:bottom w:val="nil"/>
            </w:tcBorders>
          </w:tcPr>
          <w:p w:rsidR="00F82C56" w:rsidRPr="001309E2" w:rsidRDefault="00F82C56" w:rsidP="001309E2">
            <w:pPr>
              <w:rPr>
                <w:b/>
                <w:sz w:val="22"/>
                <w:szCs w:val="22"/>
              </w:rPr>
            </w:pPr>
            <w:r w:rsidRPr="001309E2">
              <w:rPr>
                <w:b/>
                <w:sz w:val="22"/>
                <w:szCs w:val="22"/>
              </w:rPr>
              <w:t> </w:t>
            </w:r>
            <w:r w:rsidRPr="001309E2">
              <w:rPr>
                <w:b/>
                <w:i/>
                <w:sz w:val="22"/>
                <w:szCs w:val="22"/>
              </w:rPr>
              <w:t>P</w:t>
            </w:r>
            <w:r w:rsidRPr="001309E2">
              <w:rPr>
                <w:b/>
                <w:sz w:val="22"/>
                <w:szCs w:val="22"/>
              </w:rPr>
              <w:t xml:space="preserve"> for trend</w:t>
            </w:r>
          </w:p>
        </w:tc>
        <w:tc>
          <w:tcPr>
            <w:tcW w:w="472" w:type="pct"/>
            <w:vMerge w:val="restart"/>
            <w:tcBorders>
              <w:top w:val="single" w:sz="4" w:space="0" w:color="auto"/>
              <w:bottom w:val="nil"/>
            </w:tcBorders>
          </w:tcPr>
          <w:p w:rsidR="00F82C56" w:rsidRPr="001309E2" w:rsidRDefault="00F82C56" w:rsidP="001309E2">
            <w:pPr>
              <w:rPr>
                <w:b/>
                <w:sz w:val="22"/>
                <w:szCs w:val="22"/>
              </w:rPr>
            </w:pPr>
            <w:r w:rsidRPr="001309E2">
              <w:rPr>
                <w:b/>
                <w:i/>
                <w:sz w:val="22"/>
                <w:szCs w:val="22"/>
              </w:rPr>
              <w:t>P</w:t>
            </w:r>
            <w:r w:rsidRPr="001309E2">
              <w:rPr>
                <w:b/>
                <w:sz w:val="22"/>
                <w:szCs w:val="22"/>
              </w:rPr>
              <w:t xml:space="preserve"> for interaction</w:t>
            </w:r>
          </w:p>
        </w:tc>
      </w:tr>
      <w:tr w:rsidR="00F82C56" w:rsidRPr="00F45C10" w:rsidTr="00A41900">
        <w:tc>
          <w:tcPr>
            <w:tcW w:w="757" w:type="pct"/>
            <w:vMerge/>
            <w:tcBorders>
              <w:top w:val="nil"/>
              <w:bottom w:val="single" w:sz="4" w:space="0" w:color="auto"/>
            </w:tcBorders>
            <w:vAlign w:val="center"/>
          </w:tcPr>
          <w:p w:rsidR="00F82C56" w:rsidRPr="00F45C10" w:rsidRDefault="00F82C56" w:rsidP="00F82C56">
            <w:pPr>
              <w:rPr>
                <w:sz w:val="22"/>
                <w:szCs w:val="22"/>
              </w:rPr>
            </w:pPr>
          </w:p>
        </w:tc>
        <w:tc>
          <w:tcPr>
            <w:tcW w:w="616" w:type="pct"/>
            <w:vMerge/>
            <w:tcBorders>
              <w:top w:val="nil"/>
              <w:bottom w:val="single" w:sz="4" w:space="0" w:color="auto"/>
            </w:tcBorders>
            <w:vAlign w:val="center"/>
          </w:tcPr>
          <w:p w:rsidR="00F82C56" w:rsidRPr="00F45C10" w:rsidRDefault="00F82C56" w:rsidP="00F82C56">
            <w:pPr>
              <w:rPr>
                <w:sz w:val="22"/>
                <w:szCs w:val="22"/>
              </w:rPr>
            </w:pPr>
          </w:p>
        </w:tc>
        <w:tc>
          <w:tcPr>
            <w:tcW w:w="696" w:type="pct"/>
            <w:tcBorders>
              <w:top w:val="single" w:sz="4" w:space="0" w:color="auto"/>
              <w:bottom w:val="single" w:sz="4" w:space="0" w:color="auto"/>
            </w:tcBorders>
            <w:vAlign w:val="center"/>
          </w:tcPr>
          <w:p w:rsidR="00F82C56" w:rsidRPr="00F82C56" w:rsidRDefault="00F82C56" w:rsidP="001309E2">
            <w:pPr>
              <w:rPr>
                <w:b/>
                <w:sz w:val="22"/>
                <w:szCs w:val="22"/>
              </w:rPr>
            </w:pPr>
            <w:r w:rsidRPr="00F82C56">
              <w:rPr>
                <w:b/>
                <w:sz w:val="22"/>
                <w:szCs w:val="22"/>
              </w:rPr>
              <w:t>Q2</w:t>
            </w:r>
          </w:p>
        </w:tc>
        <w:tc>
          <w:tcPr>
            <w:tcW w:w="696" w:type="pct"/>
            <w:tcBorders>
              <w:top w:val="single" w:sz="4" w:space="0" w:color="auto"/>
              <w:bottom w:val="single" w:sz="4" w:space="0" w:color="auto"/>
            </w:tcBorders>
            <w:vAlign w:val="center"/>
          </w:tcPr>
          <w:p w:rsidR="00F82C56" w:rsidRPr="001309E2" w:rsidRDefault="00F82C56" w:rsidP="001309E2">
            <w:pPr>
              <w:rPr>
                <w:b/>
                <w:sz w:val="22"/>
                <w:szCs w:val="22"/>
              </w:rPr>
            </w:pPr>
            <w:r w:rsidRPr="001309E2">
              <w:rPr>
                <w:b/>
                <w:sz w:val="22"/>
                <w:szCs w:val="22"/>
              </w:rPr>
              <w:t>Q3</w:t>
            </w:r>
          </w:p>
        </w:tc>
        <w:tc>
          <w:tcPr>
            <w:tcW w:w="696" w:type="pct"/>
            <w:tcBorders>
              <w:top w:val="single" w:sz="4" w:space="0" w:color="auto"/>
              <w:bottom w:val="single" w:sz="4" w:space="0" w:color="auto"/>
            </w:tcBorders>
            <w:vAlign w:val="center"/>
          </w:tcPr>
          <w:p w:rsidR="00F82C56" w:rsidRPr="001309E2" w:rsidRDefault="00F82C56" w:rsidP="001309E2">
            <w:pPr>
              <w:rPr>
                <w:b/>
                <w:sz w:val="22"/>
                <w:szCs w:val="22"/>
              </w:rPr>
            </w:pPr>
            <w:r w:rsidRPr="001309E2">
              <w:rPr>
                <w:b/>
                <w:sz w:val="22"/>
                <w:szCs w:val="22"/>
              </w:rPr>
              <w:t>Q4</w:t>
            </w:r>
          </w:p>
        </w:tc>
        <w:tc>
          <w:tcPr>
            <w:tcW w:w="696" w:type="pct"/>
            <w:tcBorders>
              <w:top w:val="single" w:sz="4" w:space="0" w:color="auto"/>
              <w:bottom w:val="single" w:sz="4" w:space="0" w:color="auto"/>
            </w:tcBorders>
            <w:vAlign w:val="center"/>
          </w:tcPr>
          <w:p w:rsidR="00F82C56" w:rsidRPr="001309E2" w:rsidRDefault="00F82C56" w:rsidP="001309E2">
            <w:pPr>
              <w:rPr>
                <w:b/>
                <w:sz w:val="22"/>
                <w:szCs w:val="22"/>
              </w:rPr>
            </w:pPr>
            <w:r w:rsidRPr="001309E2">
              <w:rPr>
                <w:b/>
                <w:sz w:val="22"/>
                <w:szCs w:val="22"/>
              </w:rPr>
              <w:t>Q5 (high)</w:t>
            </w:r>
          </w:p>
        </w:tc>
        <w:tc>
          <w:tcPr>
            <w:tcW w:w="373" w:type="pct"/>
            <w:vMerge/>
            <w:tcBorders>
              <w:top w:val="nil"/>
              <w:bottom w:val="single" w:sz="4" w:space="0" w:color="auto"/>
            </w:tcBorders>
            <w:vAlign w:val="center"/>
          </w:tcPr>
          <w:p w:rsidR="00F82C56" w:rsidRPr="001309E2" w:rsidRDefault="00F82C56" w:rsidP="001309E2">
            <w:pPr>
              <w:rPr>
                <w:sz w:val="22"/>
                <w:szCs w:val="22"/>
              </w:rPr>
            </w:pPr>
          </w:p>
        </w:tc>
        <w:tc>
          <w:tcPr>
            <w:tcW w:w="472" w:type="pct"/>
            <w:vMerge/>
            <w:tcBorders>
              <w:top w:val="nil"/>
              <w:bottom w:val="single" w:sz="4" w:space="0" w:color="auto"/>
            </w:tcBorders>
          </w:tcPr>
          <w:p w:rsidR="00F82C56" w:rsidRPr="001309E2" w:rsidRDefault="00F82C56" w:rsidP="001309E2">
            <w:pPr>
              <w:rPr>
                <w:sz w:val="22"/>
                <w:szCs w:val="22"/>
              </w:rPr>
            </w:pPr>
          </w:p>
        </w:tc>
      </w:tr>
      <w:tr w:rsidR="00F82C56" w:rsidRPr="00F45C10" w:rsidTr="00A41900">
        <w:tc>
          <w:tcPr>
            <w:tcW w:w="757" w:type="pct"/>
            <w:tcBorders>
              <w:top w:val="single" w:sz="4" w:space="0" w:color="auto"/>
            </w:tcBorders>
            <w:vAlign w:val="center"/>
          </w:tcPr>
          <w:p w:rsidR="00F82C56" w:rsidRPr="00570268" w:rsidRDefault="00F82C56" w:rsidP="001309E2">
            <w:pPr>
              <w:rPr>
                <w:sz w:val="22"/>
                <w:szCs w:val="22"/>
              </w:rPr>
            </w:pPr>
            <w:r>
              <w:rPr>
                <w:sz w:val="22"/>
                <w:szCs w:val="22"/>
              </w:rPr>
              <w:t>Total population</w:t>
            </w:r>
          </w:p>
        </w:tc>
        <w:tc>
          <w:tcPr>
            <w:tcW w:w="616" w:type="pct"/>
            <w:tcBorders>
              <w:top w:val="single" w:sz="4" w:space="0" w:color="auto"/>
            </w:tcBorders>
            <w:vAlign w:val="center"/>
          </w:tcPr>
          <w:p w:rsidR="00F82C56" w:rsidRPr="00F45C10" w:rsidRDefault="001309E2" w:rsidP="00F82C56">
            <w:pPr>
              <w:rPr>
                <w:sz w:val="22"/>
                <w:szCs w:val="22"/>
              </w:rPr>
            </w:pPr>
            <w:r>
              <w:rPr>
                <w:sz w:val="22"/>
                <w:szCs w:val="22"/>
              </w:rPr>
              <w:t>77,572 (6,906)</w:t>
            </w:r>
          </w:p>
        </w:tc>
        <w:tc>
          <w:tcPr>
            <w:tcW w:w="696" w:type="pct"/>
            <w:tcBorders>
              <w:top w:val="single" w:sz="4" w:space="0" w:color="auto"/>
            </w:tcBorders>
            <w:vAlign w:val="center"/>
          </w:tcPr>
          <w:p w:rsidR="00F82C56" w:rsidRPr="00F45C10" w:rsidRDefault="001309E2" w:rsidP="001309E2">
            <w:pPr>
              <w:rPr>
                <w:sz w:val="22"/>
                <w:szCs w:val="22"/>
              </w:rPr>
            </w:pPr>
            <w:r>
              <w:rPr>
                <w:sz w:val="22"/>
                <w:szCs w:val="22"/>
              </w:rPr>
              <w:t>1.00 (0.93, 1.08)</w:t>
            </w:r>
          </w:p>
        </w:tc>
        <w:tc>
          <w:tcPr>
            <w:tcW w:w="696" w:type="pct"/>
            <w:tcBorders>
              <w:top w:val="single" w:sz="4" w:space="0" w:color="auto"/>
            </w:tcBorders>
            <w:vAlign w:val="center"/>
          </w:tcPr>
          <w:p w:rsidR="00F82C56" w:rsidRPr="001309E2" w:rsidRDefault="001309E2" w:rsidP="001309E2">
            <w:pPr>
              <w:rPr>
                <w:sz w:val="22"/>
                <w:szCs w:val="22"/>
              </w:rPr>
            </w:pPr>
            <w:r w:rsidRPr="001309E2">
              <w:rPr>
                <w:sz w:val="22"/>
                <w:szCs w:val="22"/>
              </w:rPr>
              <w:t>0.97 (0.90, 1.05)</w:t>
            </w:r>
          </w:p>
        </w:tc>
        <w:tc>
          <w:tcPr>
            <w:tcW w:w="696" w:type="pct"/>
            <w:tcBorders>
              <w:top w:val="single" w:sz="4" w:space="0" w:color="auto"/>
            </w:tcBorders>
            <w:vAlign w:val="center"/>
          </w:tcPr>
          <w:p w:rsidR="00F82C56" w:rsidRPr="001309E2" w:rsidRDefault="001309E2" w:rsidP="001309E2">
            <w:pPr>
              <w:rPr>
                <w:sz w:val="22"/>
                <w:szCs w:val="22"/>
              </w:rPr>
            </w:pPr>
            <w:r w:rsidRPr="001309E2">
              <w:rPr>
                <w:sz w:val="22"/>
                <w:szCs w:val="22"/>
              </w:rPr>
              <w:t>0.91 (0.84, 0.98)</w:t>
            </w:r>
          </w:p>
        </w:tc>
        <w:tc>
          <w:tcPr>
            <w:tcW w:w="696" w:type="pct"/>
            <w:tcBorders>
              <w:top w:val="single" w:sz="4" w:space="0" w:color="auto"/>
            </w:tcBorders>
            <w:vAlign w:val="center"/>
          </w:tcPr>
          <w:p w:rsidR="00F82C56" w:rsidRPr="001309E2" w:rsidRDefault="001309E2" w:rsidP="001309E2">
            <w:pPr>
              <w:rPr>
                <w:sz w:val="22"/>
                <w:szCs w:val="22"/>
              </w:rPr>
            </w:pPr>
            <w:r w:rsidRPr="001309E2">
              <w:rPr>
                <w:sz w:val="22"/>
                <w:szCs w:val="22"/>
              </w:rPr>
              <w:t>0.86 (0.79, 0.93)</w:t>
            </w:r>
          </w:p>
        </w:tc>
        <w:tc>
          <w:tcPr>
            <w:tcW w:w="373" w:type="pct"/>
            <w:tcBorders>
              <w:top w:val="single" w:sz="4" w:space="0" w:color="auto"/>
            </w:tcBorders>
            <w:vAlign w:val="center"/>
          </w:tcPr>
          <w:p w:rsidR="00F82C56" w:rsidRPr="001309E2" w:rsidRDefault="001309E2" w:rsidP="001309E2">
            <w:pPr>
              <w:rPr>
                <w:sz w:val="22"/>
                <w:szCs w:val="22"/>
              </w:rPr>
            </w:pPr>
            <w:r w:rsidRPr="001309E2">
              <w:rPr>
                <w:sz w:val="22"/>
                <w:szCs w:val="22"/>
              </w:rPr>
              <w:t>&lt;0.001</w:t>
            </w:r>
          </w:p>
        </w:tc>
        <w:tc>
          <w:tcPr>
            <w:tcW w:w="472" w:type="pct"/>
            <w:tcBorders>
              <w:top w:val="single" w:sz="4" w:space="0" w:color="auto"/>
            </w:tcBorders>
          </w:tcPr>
          <w:p w:rsidR="00F82C56" w:rsidRPr="001309E2" w:rsidRDefault="00F82C56" w:rsidP="001309E2">
            <w:pPr>
              <w:rPr>
                <w:sz w:val="22"/>
                <w:szCs w:val="22"/>
              </w:rPr>
            </w:pPr>
          </w:p>
        </w:tc>
      </w:tr>
      <w:tr w:rsidR="001309E2" w:rsidRPr="00F45C10" w:rsidTr="00A41900">
        <w:tc>
          <w:tcPr>
            <w:tcW w:w="757" w:type="pct"/>
            <w:vAlign w:val="center"/>
          </w:tcPr>
          <w:p w:rsidR="001309E2" w:rsidRPr="00570268" w:rsidRDefault="001309E2" w:rsidP="001309E2">
            <w:pPr>
              <w:rPr>
                <w:sz w:val="22"/>
                <w:szCs w:val="22"/>
              </w:rPr>
            </w:pPr>
            <w:r w:rsidRPr="00570268">
              <w:rPr>
                <w:sz w:val="22"/>
                <w:szCs w:val="22"/>
              </w:rPr>
              <w:t>Men</w:t>
            </w:r>
          </w:p>
        </w:tc>
        <w:tc>
          <w:tcPr>
            <w:tcW w:w="616" w:type="pct"/>
            <w:vAlign w:val="center"/>
          </w:tcPr>
          <w:p w:rsidR="001309E2" w:rsidRPr="00F45C10" w:rsidRDefault="001309E2" w:rsidP="001309E2">
            <w:pPr>
              <w:rPr>
                <w:sz w:val="22"/>
                <w:szCs w:val="22"/>
              </w:rPr>
            </w:pPr>
            <w:r w:rsidRPr="00F45C10">
              <w:rPr>
                <w:sz w:val="22"/>
                <w:szCs w:val="22"/>
              </w:rPr>
              <w:t>31</w:t>
            </w:r>
            <w:r>
              <w:rPr>
                <w:sz w:val="22"/>
                <w:szCs w:val="22"/>
              </w:rPr>
              <w:t>,</w:t>
            </w:r>
            <w:r w:rsidRPr="00F45C10">
              <w:rPr>
                <w:sz w:val="22"/>
                <w:szCs w:val="22"/>
              </w:rPr>
              <w:t>188 (3</w:t>
            </w:r>
            <w:r>
              <w:rPr>
                <w:sz w:val="22"/>
                <w:szCs w:val="22"/>
              </w:rPr>
              <w:t>,</w:t>
            </w:r>
            <w:r w:rsidRPr="00F45C10">
              <w:rPr>
                <w:sz w:val="22"/>
                <w:szCs w:val="22"/>
              </w:rPr>
              <w:t>672)</w:t>
            </w:r>
          </w:p>
        </w:tc>
        <w:tc>
          <w:tcPr>
            <w:tcW w:w="696" w:type="pct"/>
            <w:vAlign w:val="center"/>
          </w:tcPr>
          <w:p w:rsidR="001309E2" w:rsidRPr="00F45C10" w:rsidRDefault="001309E2" w:rsidP="001309E2">
            <w:pPr>
              <w:rPr>
                <w:sz w:val="22"/>
                <w:szCs w:val="22"/>
              </w:rPr>
            </w:pPr>
            <w:r>
              <w:rPr>
                <w:sz w:val="22"/>
                <w:szCs w:val="22"/>
              </w:rPr>
              <w:t>0.97 (0.88, 1.07)</w:t>
            </w:r>
          </w:p>
        </w:tc>
        <w:tc>
          <w:tcPr>
            <w:tcW w:w="696" w:type="pct"/>
            <w:vAlign w:val="center"/>
          </w:tcPr>
          <w:p w:rsidR="001309E2" w:rsidRPr="001309E2" w:rsidRDefault="001309E2" w:rsidP="001309E2">
            <w:pPr>
              <w:rPr>
                <w:sz w:val="22"/>
                <w:szCs w:val="22"/>
              </w:rPr>
            </w:pPr>
            <w:r>
              <w:rPr>
                <w:sz w:val="22"/>
                <w:szCs w:val="22"/>
              </w:rPr>
              <w:t>0.94 (0.85, 1.04)</w:t>
            </w:r>
          </w:p>
        </w:tc>
        <w:tc>
          <w:tcPr>
            <w:tcW w:w="696" w:type="pct"/>
            <w:vAlign w:val="center"/>
          </w:tcPr>
          <w:p w:rsidR="001309E2" w:rsidRPr="001309E2" w:rsidRDefault="001309E2" w:rsidP="001309E2">
            <w:pPr>
              <w:rPr>
                <w:sz w:val="22"/>
                <w:szCs w:val="22"/>
              </w:rPr>
            </w:pPr>
            <w:r w:rsidRPr="001309E2">
              <w:rPr>
                <w:sz w:val="22"/>
                <w:szCs w:val="22"/>
              </w:rPr>
              <w:t>0.86 (0.77, 0.9</w:t>
            </w:r>
            <w:r>
              <w:rPr>
                <w:sz w:val="22"/>
                <w:szCs w:val="22"/>
              </w:rPr>
              <w:t>5</w:t>
            </w:r>
            <w:r w:rsidRPr="001309E2">
              <w:rPr>
                <w:sz w:val="22"/>
                <w:szCs w:val="22"/>
              </w:rPr>
              <w:t>)</w:t>
            </w:r>
          </w:p>
        </w:tc>
        <w:tc>
          <w:tcPr>
            <w:tcW w:w="696" w:type="pct"/>
            <w:vAlign w:val="center"/>
          </w:tcPr>
          <w:p w:rsidR="001309E2" w:rsidRPr="001309E2" w:rsidRDefault="001309E2" w:rsidP="001309E2">
            <w:pPr>
              <w:rPr>
                <w:sz w:val="22"/>
                <w:szCs w:val="22"/>
              </w:rPr>
            </w:pPr>
            <w:r w:rsidRPr="001309E2">
              <w:rPr>
                <w:sz w:val="22"/>
                <w:szCs w:val="22"/>
              </w:rPr>
              <w:t>0.86 (0.77, 0.96)</w:t>
            </w:r>
          </w:p>
        </w:tc>
        <w:tc>
          <w:tcPr>
            <w:tcW w:w="373" w:type="pct"/>
            <w:vAlign w:val="center"/>
          </w:tcPr>
          <w:p w:rsidR="001309E2" w:rsidRPr="001309E2" w:rsidRDefault="001309E2" w:rsidP="001309E2">
            <w:pPr>
              <w:rPr>
                <w:sz w:val="22"/>
                <w:szCs w:val="22"/>
              </w:rPr>
            </w:pPr>
            <w:r w:rsidRPr="001309E2">
              <w:rPr>
                <w:sz w:val="22"/>
                <w:szCs w:val="22"/>
              </w:rPr>
              <w:t>&lt;0.001</w:t>
            </w:r>
          </w:p>
        </w:tc>
        <w:tc>
          <w:tcPr>
            <w:tcW w:w="472" w:type="pct"/>
          </w:tcPr>
          <w:p w:rsidR="001309E2" w:rsidRPr="001309E2" w:rsidRDefault="001309E2" w:rsidP="001309E2">
            <w:pPr>
              <w:rPr>
                <w:sz w:val="22"/>
                <w:szCs w:val="22"/>
              </w:rPr>
            </w:pPr>
            <w:r w:rsidRPr="001309E2">
              <w:rPr>
                <w:sz w:val="22"/>
                <w:szCs w:val="22"/>
              </w:rPr>
              <w:t>0.70</w:t>
            </w:r>
          </w:p>
        </w:tc>
      </w:tr>
      <w:tr w:rsidR="001309E2" w:rsidRPr="00F45C10" w:rsidTr="00A41900">
        <w:tc>
          <w:tcPr>
            <w:tcW w:w="757" w:type="pct"/>
            <w:vAlign w:val="center"/>
          </w:tcPr>
          <w:p w:rsidR="001309E2" w:rsidRPr="00570268" w:rsidRDefault="001309E2" w:rsidP="001309E2">
            <w:pPr>
              <w:rPr>
                <w:sz w:val="22"/>
                <w:szCs w:val="22"/>
              </w:rPr>
            </w:pPr>
            <w:r w:rsidRPr="00570268">
              <w:rPr>
                <w:sz w:val="22"/>
                <w:szCs w:val="22"/>
              </w:rPr>
              <w:t>Women</w:t>
            </w:r>
          </w:p>
        </w:tc>
        <w:tc>
          <w:tcPr>
            <w:tcW w:w="616" w:type="pct"/>
            <w:vAlign w:val="center"/>
          </w:tcPr>
          <w:p w:rsidR="001309E2" w:rsidRPr="001309E2" w:rsidRDefault="001309E2" w:rsidP="001309E2">
            <w:pPr>
              <w:rPr>
                <w:sz w:val="22"/>
                <w:szCs w:val="22"/>
              </w:rPr>
            </w:pPr>
            <w:r w:rsidRPr="001309E2">
              <w:rPr>
                <w:sz w:val="22"/>
                <w:szCs w:val="22"/>
              </w:rPr>
              <w:t>46,384 (3,234)</w:t>
            </w:r>
          </w:p>
        </w:tc>
        <w:tc>
          <w:tcPr>
            <w:tcW w:w="696" w:type="pct"/>
            <w:vAlign w:val="center"/>
          </w:tcPr>
          <w:p w:rsidR="001309E2" w:rsidRPr="00F45C10" w:rsidRDefault="001309E2" w:rsidP="001309E2">
            <w:pPr>
              <w:rPr>
                <w:sz w:val="22"/>
                <w:szCs w:val="22"/>
              </w:rPr>
            </w:pPr>
            <w:r>
              <w:rPr>
                <w:sz w:val="22"/>
                <w:szCs w:val="22"/>
              </w:rPr>
              <w:t>1.04 (0.93, 1.16)</w:t>
            </w:r>
          </w:p>
        </w:tc>
        <w:tc>
          <w:tcPr>
            <w:tcW w:w="696" w:type="pct"/>
            <w:vAlign w:val="center"/>
          </w:tcPr>
          <w:p w:rsidR="001309E2" w:rsidRPr="001309E2" w:rsidRDefault="001309E2" w:rsidP="001309E2">
            <w:pPr>
              <w:rPr>
                <w:sz w:val="22"/>
                <w:szCs w:val="22"/>
              </w:rPr>
            </w:pPr>
            <w:r>
              <w:rPr>
                <w:sz w:val="22"/>
                <w:szCs w:val="22"/>
              </w:rPr>
              <w:t>1.02 (0.92, 1.14)</w:t>
            </w:r>
          </w:p>
        </w:tc>
        <w:tc>
          <w:tcPr>
            <w:tcW w:w="696" w:type="pct"/>
            <w:vAlign w:val="center"/>
          </w:tcPr>
          <w:p w:rsidR="001309E2" w:rsidRPr="001309E2" w:rsidRDefault="001309E2" w:rsidP="001309E2">
            <w:pPr>
              <w:rPr>
                <w:sz w:val="22"/>
                <w:szCs w:val="22"/>
              </w:rPr>
            </w:pPr>
            <w:r>
              <w:rPr>
                <w:sz w:val="22"/>
                <w:szCs w:val="22"/>
              </w:rPr>
              <w:t>0.97 (0.86, 1.08)</w:t>
            </w:r>
          </w:p>
        </w:tc>
        <w:tc>
          <w:tcPr>
            <w:tcW w:w="696" w:type="pct"/>
            <w:vAlign w:val="center"/>
          </w:tcPr>
          <w:p w:rsidR="001309E2" w:rsidRPr="001309E2" w:rsidRDefault="001309E2" w:rsidP="001309E2">
            <w:pPr>
              <w:rPr>
                <w:sz w:val="22"/>
                <w:szCs w:val="22"/>
              </w:rPr>
            </w:pPr>
            <w:r w:rsidRPr="001309E2">
              <w:rPr>
                <w:sz w:val="22"/>
                <w:szCs w:val="22"/>
              </w:rPr>
              <w:t>0.87 (0.77, 0.98)</w:t>
            </w:r>
          </w:p>
        </w:tc>
        <w:tc>
          <w:tcPr>
            <w:tcW w:w="373" w:type="pct"/>
            <w:vAlign w:val="center"/>
          </w:tcPr>
          <w:p w:rsidR="001309E2" w:rsidRPr="001309E2" w:rsidRDefault="001309E2" w:rsidP="001309E2">
            <w:pPr>
              <w:rPr>
                <w:sz w:val="22"/>
                <w:szCs w:val="22"/>
              </w:rPr>
            </w:pPr>
            <w:r w:rsidRPr="001309E2">
              <w:rPr>
                <w:sz w:val="22"/>
                <w:szCs w:val="22"/>
              </w:rPr>
              <w:t>0.01</w:t>
            </w:r>
          </w:p>
        </w:tc>
        <w:tc>
          <w:tcPr>
            <w:tcW w:w="472" w:type="pct"/>
          </w:tcPr>
          <w:p w:rsidR="001309E2" w:rsidRPr="001309E2" w:rsidRDefault="001309E2" w:rsidP="001309E2">
            <w:pPr>
              <w:rPr>
                <w:sz w:val="22"/>
                <w:szCs w:val="22"/>
              </w:rPr>
            </w:pPr>
          </w:p>
        </w:tc>
      </w:tr>
      <w:tr w:rsidR="001309E2" w:rsidRPr="00F45C10" w:rsidTr="00A41900">
        <w:tc>
          <w:tcPr>
            <w:tcW w:w="757" w:type="pct"/>
            <w:vAlign w:val="center"/>
          </w:tcPr>
          <w:p w:rsidR="001309E2" w:rsidRPr="002A2943" w:rsidRDefault="001309E2" w:rsidP="001309E2">
            <w:pPr>
              <w:rPr>
                <w:sz w:val="22"/>
                <w:szCs w:val="22"/>
              </w:rPr>
            </w:pPr>
            <w:r w:rsidRPr="002A2943">
              <w:rPr>
                <w:sz w:val="22"/>
                <w:szCs w:val="22"/>
              </w:rPr>
              <w:t>African Americans</w:t>
            </w:r>
          </w:p>
        </w:tc>
        <w:tc>
          <w:tcPr>
            <w:tcW w:w="616" w:type="pct"/>
            <w:vAlign w:val="center"/>
          </w:tcPr>
          <w:p w:rsidR="001309E2" w:rsidRPr="001309E2" w:rsidRDefault="001309E2" w:rsidP="001309E2">
            <w:pPr>
              <w:rPr>
                <w:sz w:val="22"/>
                <w:szCs w:val="22"/>
              </w:rPr>
            </w:pPr>
            <w:r w:rsidRPr="001309E2">
              <w:rPr>
                <w:sz w:val="22"/>
                <w:szCs w:val="22"/>
              </w:rPr>
              <w:t>50,434 (4,614)</w:t>
            </w:r>
          </w:p>
        </w:tc>
        <w:tc>
          <w:tcPr>
            <w:tcW w:w="696" w:type="pct"/>
            <w:vAlign w:val="center"/>
          </w:tcPr>
          <w:p w:rsidR="001309E2" w:rsidRPr="00F45C10" w:rsidRDefault="00A41900" w:rsidP="001309E2">
            <w:pPr>
              <w:rPr>
                <w:sz w:val="22"/>
                <w:szCs w:val="22"/>
              </w:rPr>
            </w:pPr>
            <w:r>
              <w:rPr>
                <w:sz w:val="22"/>
                <w:szCs w:val="22"/>
              </w:rPr>
              <w:t>1.02 (0.93, 1.11)</w:t>
            </w:r>
          </w:p>
        </w:tc>
        <w:tc>
          <w:tcPr>
            <w:tcW w:w="696" w:type="pct"/>
            <w:vAlign w:val="center"/>
          </w:tcPr>
          <w:p w:rsidR="001309E2" w:rsidRPr="001309E2" w:rsidRDefault="00A41900" w:rsidP="00A41900">
            <w:pPr>
              <w:rPr>
                <w:sz w:val="22"/>
                <w:szCs w:val="22"/>
              </w:rPr>
            </w:pPr>
            <w:r>
              <w:rPr>
                <w:sz w:val="22"/>
                <w:szCs w:val="22"/>
              </w:rPr>
              <w:t>1.00 (0.91, 1.10)</w:t>
            </w:r>
          </w:p>
        </w:tc>
        <w:tc>
          <w:tcPr>
            <w:tcW w:w="696" w:type="pct"/>
            <w:vAlign w:val="center"/>
          </w:tcPr>
          <w:p w:rsidR="001309E2" w:rsidRPr="001309E2" w:rsidRDefault="00A41900" w:rsidP="001309E2">
            <w:pPr>
              <w:rPr>
                <w:sz w:val="22"/>
                <w:szCs w:val="22"/>
              </w:rPr>
            </w:pPr>
            <w:r>
              <w:rPr>
                <w:sz w:val="22"/>
                <w:szCs w:val="22"/>
              </w:rPr>
              <w:t>0.88 (0.80, 0.97)</w:t>
            </w:r>
          </w:p>
        </w:tc>
        <w:tc>
          <w:tcPr>
            <w:tcW w:w="696" w:type="pct"/>
            <w:vAlign w:val="center"/>
          </w:tcPr>
          <w:p w:rsidR="001309E2" w:rsidRPr="001309E2" w:rsidRDefault="001309E2" w:rsidP="001309E2">
            <w:pPr>
              <w:rPr>
                <w:sz w:val="22"/>
                <w:szCs w:val="22"/>
              </w:rPr>
            </w:pPr>
            <w:r w:rsidRPr="001309E2">
              <w:rPr>
                <w:sz w:val="22"/>
                <w:szCs w:val="22"/>
              </w:rPr>
              <w:t>0.87 (0.78, 0.96)</w:t>
            </w:r>
          </w:p>
        </w:tc>
        <w:tc>
          <w:tcPr>
            <w:tcW w:w="373" w:type="pct"/>
            <w:vAlign w:val="center"/>
          </w:tcPr>
          <w:p w:rsidR="001309E2" w:rsidRPr="001309E2" w:rsidRDefault="001309E2" w:rsidP="001309E2">
            <w:pPr>
              <w:rPr>
                <w:sz w:val="22"/>
                <w:szCs w:val="22"/>
              </w:rPr>
            </w:pPr>
            <w:r w:rsidRPr="001309E2">
              <w:rPr>
                <w:sz w:val="22"/>
                <w:szCs w:val="22"/>
              </w:rPr>
              <w:t>&lt;0.001</w:t>
            </w:r>
          </w:p>
        </w:tc>
        <w:tc>
          <w:tcPr>
            <w:tcW w:w="472" w:type="pct"/>
          </w:tcPr>
          <w:p w:rsidR="001309E2" w:rsidRPr="001309E2" w:rsidRDefault="001309E2" w:rsidP="001309E2">
            <w:pPr>
              <w:rPr>
                <w:sz w:val="22"/>
                <w:szCs w:val="22"/>
              </w:rPr>
            </w:pPr>
            <w:r w:rsidRPr="001309E2">
              <w:rPr>
                <w:sz w:val="22"/>
                <w:szCs w:val="22"/>
              </w:rPr>
              <w:t>0.27</w:t>
            </w:r>
          </w:p>
        </w:tc>
      </w:tr>
      <w:tr w:rsidR="001309E2" w:rsidRPr="00F45C10" w:rsidTr="00A41900">
        <w:tc>
          <w:tcPr>
            <w:tcW w:w="757" w:type="pct"/>
            <w:vAlign w:val="center"/>
          </w:tcPr>
          <w:p w:rsidR="001309E2" w:rsidRPr="002A2943" w:rsidRDefault="001309E2" w:rsidP="001309E2">
            <w:pPr>
              <w:rPr>
                <w:sz w:val="22"/>
                <w:szCs w:val="22"/>
              </w:rPr>
            </w:pPr>
            <w:r w:rsidRPr="002A2943">
              <w:rPr>
                <w:sz w:val="22"/>
                <w:szCs w:val="22"/>
              </w:rPr>
              <w:t>Whites and other racial/ethnic groups</w:t>
            </w:r>
          </w:p>
        </w:tc>
        <w:tc>
          <w:tcPr>
            <w:tcW w:w="616" w:type="pct"/>
            <w:vAlign w:val="center"/>
          </w:tcPr>
          <w:p w:rsidR="001309E2" w:rsidRPr="001309E2" w:rsidRDefault="001309E2" w:rsidP="001309E2">
            <w:pPr>
              <w:rPr>
                <w:sz w:val="22"/>
                <w:szCs w:val="22"/>
              </w:rPr>
            </w:pPr>
            <w:r w:rsidRPr="001309E2">
              <w:rPr>
                <w:sz w:val="22"/>
                <w:szCs w:val="22"/>
              </w:rPr>
              <w:t>27,138 (2,292)</w:t>
            </w:r>
          </w:p>
        </w:tc>
        <w:tc>
          <w:tcPr>
            <w:tcW w:w="696" w:type="pct"/>
            <w:vAlign w:val="center"/>
          </w:tcPr>
          <w:p w:rsidR="001309E2" w:rsidRPr="00F45C10" w:rsidRDefault="00A41900" w:rsidP="001309E2">
            <w:pPr>
              <w:rPr>
                <w:sz w:val="22"/>
                <w:szCs w:val="22"/>
              </w:rPr>
            </w:pPr>
            <w:r>
              <w:rPr>
                <w:sz w:val="22"/>
                <w:szCs w:val="22"/>
              </w:rPr>
              <w:t>0.98 (0.86, 1.11)</w:t>
            </w:r>
          </w:p>
        </w:tc>
        <w:tc>
          <w:tcPr>
            <w:tcW w:w="696" w:type="pct"/>
            <w:vAlign w:val="center"/>
          </w:tcPr>
          <w:p w:rsidR="001309E2" w:rsidRPr="001309E2" w:rsidRDefault="00A41900" w:rsidP="001309E2">
            <w:pPr>
              <w:rPr>
                <w:sz w:val="22"/>
                <w:szCs w:val="22"/>
              </w:rPr>
            </w:pPr>
            <w:r>
              <w:rPr>
                <w:sz w:val="22"/>
                <w:szCs w:val="22"/>
              </w:rPr>
              <w:t>0.92 0.81, 1.05)</w:t>
            </w:r>
          </w:p>
        </w:tc>
        <w:tc>
          <w:tcPr>
            <w:tcW w:w="696" w:type="pct"/>
            <w:vAlign w:val="center"/>
          </w:tcPr>
          <w:p w:rsidR="001309E2" w:rsidRPr="001309E2" w:rsidRDefault="00A41900" w:rsidP="001309E2">
            <w:pPr>
              <w:rPr>
                <w:sz w:val="22"/>
                <w:szCs w:val="22"/>
              </w:rPr>
            </w:pPr>
            <w:r>
              <w:rPr>
                <w:sz w:val="22"/>
                <w:szCs w:val="22"/>
              </w:rPr>
              <w:t>0.96 (0.84, 1.10)</w:t>
            </w:r>
          </w:p>
        </w:tc>
        <w:tc>
          <w:tcPr>
            <w:tcW w:w="696" w:type="pct"/>
            <w:vAlign w:val="center"/>
          </w:tcPr>
          <w:p w:rsidR="001309E2" w:rsidRPr="001309E2" w:rsidRDefault="001309E2" w:rsidP="001309E2">
            <w:pPr>
              <w:rPr>
                <w:sz w:val="22"/>
                <w:szCs w:val="22"/>
              </w:rPr>
            </w:pPr>
            <w:r w:rsidRPr="001309E2">
              <w:rPr>
                <w:sz w:val="22"/>
                <w:szCs w:val="22"/>
              </w:rPr>
              <w:t>0.85 (0.74, 0.98)</w:t>
            </w:r>
          </w:p>
        </w:tc>
        <w:tc>
          <w:tcPr>
            <w:tcW w:w="373" w:type="pct"/>
            <w:vAlign w:val="center"/>
          </w:tcPr>
          <w:p w:rsidR="001309E2" w:rsidRPr="001309E2" w:rsidRDefault="001309E2" w:rsidP="001309E2">
            <w:pPr>
              <w:rPr>
                <w:sz w:val="22"/>
                <w:szCs w:val="22"/>
              </w:rPr>
            </w:pPr>
            <w:r w:rsidRPr="001309E2">
              <w:rPr>
                <w:sz w:val="22"/>
                <w:szCs w:val="22"/>
              </w:rPr>
              <w:t>0.04</w:t>
            </w:r>
          </w:p>
        </w:tc>
        <w:tc>
          <w:tcPr>
            <w:tcW w:w="472" w:type="pct"/>
          </w:tcPr>
          <w:p w:rsidR="001309E2" w:rsidRPr="001309E2" w:rsidRDefault="001309E2" w:rsidP="001309E2">
            <w:pPr>
              <w:rPr>
                <w:sz w:val="22"/>
                <w:szCs w:val="22"/>
              </w:rPr>
            </w:pPr>
          </w:p>
        </w:tc>
      </w:tr>
      <w:tr w:rsidR="001309E2" w:rsidRPr="00F45C10" w:rsidTr="00A41900">
        <w:tc>
          <w:tcPr>
            <w:tcW w:w="757" w:type="pct"/>
            <w:vAlign w:val="center"/>
          </w:tcPr>
          <w:p w:rsidR="001309E2" w:rsidRPr="00570268" w:rsidRDefault="001309E2" w:rsidP="001309E2">
            <w:pPr>
              <w:rPr>
                <w:sz w:val="22"/>
                <w:szCs w:val="22"/>
              </w:rPr>
            </w:pPr>
            <w:r w:rsidRPr="00570268">
              <w:rPr>
                <w:sz w:val="22"/>
                <w:szCs w:val="22"/>
              </w:rPr>
              <w:t>Household income &lt; $15,000/year</w:t>
            </w:r>
          </w:p>
        </w:tc>
        <w:tc>
          <w:tcPr>
            <w:tcW w:w="616" w:type="pct"/>
            <w:vAlign w:val="center"/>
          </w:tcPr>
          <w:p w:rsidR="001309E2" w:rsidRPr="001309E2" w:rsidRDefault="001309E2" w:rsidP="001309E2">
            <w:pPr>
              <w:rPr>
                <w:sz w:val="22"/>
                <w:szCs w:val="22"/>
              </w:rPr>
            </w:pPr>
            <w:r w:rsidRPr="001309E2">
              <w:rPr>
                <w:sz w:val="22"/>
                <w:szCs w:val="22"/>
              </w:rPr>
              <w:t>42,759 (4,918)</w:t>
            </w:r>
          </w:p>
        </w:tc>
        <w:tc>
          <w:tcPr>
            <w:tcW w:w="696" w:type="pct"/>
            <w:vAlign w:val="center"/>
          </w:tcPr>
          <w:p w:rsidR="001309E2" w:rsidRPr="00F45C10" w:rsidRDefault="00C06D60" w:rsidP="001309E2">
            <w:pPr>
              <w:rPr>
                <w:sz w:val="22"/>
                <w:szCs w:val="22"/>
              </w:rPr>
            </w:pPr>
            <w:r>
              <w:rPr>
                <w:sz w:val="22"/>
                <w:szCs w:val="22"/>
              </w:rPr>
              <w:t>1.00 (0.92, 1.09)</w:t>
            </w:r>
          </w:p>
        </w:tc>
        <w:tc>
          <w:tcPr>
            <w:tcW w:w="696" w:type="pct"/>
            <w:vAlign w:val="center"/>
          </w:tcPr>
          <w:p w:rsidR="001309E2" w:rsidRPr="001309E2" w:rsidRDefault="00C06D60" w:rsidP="00C06D60">
            <w:pPr>
              <w:rPr>
                <w:sz w:val="22"/>
                <w:szCs w:val="22"/>
              </w:rPr>
            </w:pPr>
            <w:r>
              <w:rPr>
                <w:sz w:val="22"/>
                <w:szCs w:val="22"/>
              </w:rPr>
              <w:t>0.98 (0.90, 1.07)</w:t>
            </w:r>
          </w:p>
        </w:tc>
        <w:tc>
          <w:tcPr>
            <w:tcW w:w="696" w:type="pct"/>
            <w:vAlign w:val="center"/>
          </w:tcPr>
          <w:p w:rsidR="001309E2" w:rsidRPr="001309E2" w:rsidRDefault="00C06D60" w:rsidP="001309E2">
            <w:pPr>
              <w:rPr>
                <w:sz w:val="22"/>
                <w:szCs w:val="22"/>
              </w:rPr>
            </w:pPr>
            <w:r>
              <w:rPr>
                <w:sz w:val="22"/>
                <w:szCs w:val="22"/>
              </w:rPr>
              <w:t>0.92 (0.84, 1.00)</w:t>
            </w:r>
          </w:p>
        </w:tc>
        <w:tc>
          <w:tcPr>
            <w:tcW w:w="696" w:type="pct"/>
            <w:vAlign w:val="center"/>
          </w:tcPr>
          <w:p w:rsidR="001309E2" w:rsidRPr="001309E2" w:rsidRDefault="001309E2" w:rsidP="001309E2">
            <w:pPr>
              <w:rPr>
                <w:sz w:val="22"/>
                <w:szCs w:val="22"/>
              </w:rPr>
            </w:pPr>
            <w:r w:rsidRPr="001309E2">
              <w:rPr>
                <w:sz w:val="22"/>
                <w:szCs w:val="22"/>
              </w:rPr>
              <w:t>0.84 (0.76, 0.93)</w:t>
            </w:r>
          </w:p>
        </w:tc>
        <w:tc>
          <w:tcPr>
            <w:tcW w:w="373" w:type="pct"/>
            <w:vAlign w:val="center"/>
          </w:tcPr>
          <w:p w:rsidR="001309E2" w:rsidRPr="001309E2" w:rsidRDefault="001309E2" w:rsidP="001309E2">
            <w:pPr>
              <w:rPr>
                <w:sz w:val="22"/>
                <w:szCs w:val="22"/>
              </w:rPr>
            </w:pPr>
            <w:r w:rsidRPr="001309E2">
              <w:rPr>
                <w:sz w:val="22"/>
                <w:szCs w:val="22"/>
              </w:rPr>
              <w:t>&lt;0.001</w:t>
            </w:r>
          </w:p>
        </w:tc>
        <w:tc>
          <w:tcPr>
            <w:tcW w:w="472" w:type="pct"/>
          </w:tcPr>
          <w:p w:rsidR="001309E2" w:rsidRPr="001309E2" w:rsidRDefault="001309E2" w:rsidP="001309E2">
            <w:pPr>
              <w:rPr>
                <w:sz w:val="22"/>
                <w:szCs w:val="22"/>
              </w:rPr>
            </w:pPr>
            <w:r w:rsidRPr="001309E2">
              <w:rPr>
                <w:sz w:val="22"/>
                <w:szCs w:val="22"/>
              </w:rPr>
              <w:t>0.90</w:t>
            </w:r>
          </w:p>
        </w:tc>
      </w:tr>
      <w:tr w:rsidR="00C06D60" w:rsidRPr="00F45C10" w:rsidTr="00A41900">
        <w:tc>
          <w:tcPr>
            <w:tcW w:w="757" w:type="pct"/>
            <w:vAlign w:val="center"/>
          </w:tcPr>
          <w:p w:rsidR="00C06D60" w:rsidRPr="00570268" w:rsidRDefault="00C06D60" w:rsidP="001309E2">
            <w:pPr>
              <w:rPr>
                <w:sz w:val="22"/>
                <w:szCs w:val="22"/>
              </w:rPr>
            </w:pPr>
            <w:r w:rsidRPr="00570268">
              <w:rPr>
                <w:sz w:val="22"/>
                <w:szCs w:val="22"/>
              </w:rPr>
              <w:t>Household income ≥ $15,000/year</w:t>
            </w:r>
          </w:p>
        </w:tc>
        <w:tc>
          <w:tcPr>
            <w:tcW w:w="616" w:type="pct"/>
            <w:vAlign w:val="center"/>
          </w:tcPr>
          <w:p w:rsidR="00C06D60" w:rsidRPr="001309E2" w:rsidRDefault="00C06D60" w:rsidP="001309E2">
            <w:pPr>
              <w:rPr>
                <w:sz w:val="22"/>
                <w:szCs w:val="22"/>
              </w:rPr>
            </w:pPr>
            <w:r w:rsidRPr="001309E2">
              <w:rPr>
                <w:sz w:val="22"/>
                <w:szCs w:val="22"/>
              </w:rPr>
              <w:t>34,813 (1,988)</w:t>
            </w:r>
          </w:p>
        </w:tc>
        <w:tc>
          <w:tcPr>
            <w:tcW w:w="696" w:type="pct"/>
            <w:vAlign w:val="center"/>
          </w:tcPr>
          <w:p w:rsidR="00C06D60" w:rsidRPr="00F45C10" w:rsidRDefault="00C06D60" w:rsidP="00C06D60">
            <w:pPr>
              <w:rPr>
                <w:sz w:val="22"/>
                <w:szCs w:val="22"/>
              </w:rPr>
            </w:pPr>
            <w:r>
              <w:rPr>
                <w:sz w:val="22"/>
                <w:szCs w:val="22"/>
              </w:rPr>
              <w:t>1.00 (0.86, 1.17)</w:t>
            </w:r>
          </w:p>
        </w:tc>
        <w:tc>
          <w:tcPr>
            <w:tcW w:w="696" w:type="pct"/>
            <w:vAlign w:val="center"/>
          </w:tcPr>
          <w:p w:rsidR="00C06D60" w:rsidRPr="001309E2" w:rsidRDefault="00C06D60" w:rsidP="00C06D60">
            <w:pPr>
              <w:rPr>
                <w:sz w:val="22"/>
                <w:szCs w:val="22"/>
              </w:rPr>
            </w:pPr>
            <w:r>
              <w:rPr>
                <w:sz w:val="22"/>
                <w:szCs w:val="22"/>
              </w:rPr>
              <w:t>0.96 (0.83, 1.12)</w:t>
            </w:r>
          </w:p>
        </w:tc>
        <w:tc>
          <w:tcPr>
            <w:tcW w:w="696" w:type="pct"/>
            <w:vAlign w:val="center"/>
          </w:tcPr>
          <w:p w:rsidR="00C06D60" w:rsidRPr="001309E2" w:rsidRDefault="00C06D60" w:rsidP="00C06D60">
            <w:pPr>
              <w:rPr>
                <w:sz w:val="22"/>
                <w:szCs w:val="22"/>
              </w:rPr>
            </w:pPr>
            <w:r>
              <w:rPr>
                <w:sz w:val="22"/>
                <w:szCs w:val="22"/>
              </w:rPr>
              <w:t>0.87 (0.75, 1.02)</w:t>
            </w:r>
          </w:p>
        </w:tc>
        <w:tc>
          <w:tcPr>
            <w:tcW w:w="696" w:type="pct"/>
            <w:vAlign w:val="center"/>
          </w:tcPr>
          <w:p w:rsidR="00C06D60" w:rsidRPr="001309E2" w:rsidRDefault="00C06D60" w:rsidP="001309E2">
            <w:pPr>
              <w:rPr>
                <w:sz w:val="22"/>
                <w:szCs w:val="22"/>
              </w:rPr>
            </w:pPr>
            <w:r w:rsidRPr="001309E2">
              <w:rPr>
                <w:sz w:val="22"/>
                <w:szCs w:val="22"/>
              </w:rPr>
              <w:t>0.90 (0.77, 1.05)</w:t>
            </w:r>
          </w:p>
        </w:tc>
        <w:tc>
          <w:tcPr>
            <w:tcW w:w="373" w:type="pct"/>
            <w:vAlign w:val="center"/>
          </w:tcPr>
          <w:p w:rsidR="00C06D60" w:rsidRPr="001309E2" w:rsidRDefault="00C06D60" w:rsidP="001309E2">
            <w:pPr>
              <w:rPr>
                <w:sz w:val="22"/>
                <w:szCs w:val="22"/>
              </w:rPr>
            </w:pPr>
            <w:r w:rsidRPr="001309E2">
              <w:rPr>
                <w:sz w:val="22"/>
                <w:szCs w:val="22"/>
              </w:rPr>
              <w:t>0.06</w:t>
            </w:r>
          </w:p>
        </w:tc>
        <w:tc>
          <w:tcPr>
            <w:tcW w:w="472" w:type="pct"/>
          </w:tcPr>
          <w:p w:rsidR="00C06D60" w:rsidRPr="001309E2" w:rsidRDefault="00C06D60" w:rsidP="001309E2">
            <w:pPr>
              <w:rPr>
                <w:sz w:val="22"/>
                <w:szCs w:val="22"/>
              </w:rPr>
            </w:pPr>
          </w:p>
        </w:tc>
      </w:tr>
    </w:tbl>
    <w:p w:rsidR="002A2943" w:rsidRPr="002A2943" w:rsidRDefault="002A2943" w:rsidP="00F82C56">
      <w:pPr>
        <w:spacing w:after="0" w:line="240" w:lineRule="auto"/>
        <w:rPr>
          <w:sz w:val="22"/>
          <w:szCs w:val="22"/>
        </w:rPr>
      </w:pPr>
    </w:p>
    <w:p w:rsidR="00F82C56" w:rsidRPr="003F498F" w:rsidRDefault="00F82C56" w:rsidP="00AD5F1D">
      <w:pPr>
        <w:spacing w:after="0" w:line="240" w:lineRule="auto"/>
        <w:rPr>
          <w:b/>
          <w:sz w:val="22"/>
          <w:szCs w:val="22"/>
        </w:rPr>
      </w:pPr>
      <w:r w:rsidRPr="00570268">
        <w:rPr>
          <w:sz w:val="22"/>
          <w:szCs w:val="22"/>
          <w:vertAlign w:val="superscript"/>
        </w:rPr>
        <w:t>1</w:t>
      </w:r>
      <w:r w:rsidRPr="00570268">
        <w:rPr>
          <w:sz w:val="22"/>
          <w:szCs w:val="22"/>
        </w:rPr>
        <w:t>Age as the underlying timescale and</w:t>
      </w:r>
      <w:r w:rsidR="007B28F9">
        <w:rPr>
          <w:sz w:val="22"/>
          <w:szCs w:val="22"/>
        </w:rPr>
        <w:t xml:space="preserve"> wherever applicable,</w:t>
      </w:r>
      <w:r w:rsidRPr="00570268">
        <w:rPr>
          <w:sz w:val="22"/>
          <w:szCs w:val="22"/>
        </w:rPr>
        <w:t xml:space="preserve"> adjusted for race, enrollment source, education, income, marital status, medical insurance, cigarette smoking, body mass index, physical activity, sitting time, total energy intake, and menopausal status and hormone therapy in women, and baseline diseases.</w:t>
      </w:r>
    </w:p>
    <w:sectPr w:rsidR="00F82C56" w:rsidRPr="003F498F" w:rsidSect="00F82C5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FC" w:rsidRDefault="00F10BFC" w:rsidP="00625AAE">
      <w:pPr>
        <w:spacing w:after="0" w:line="240" w:lineRule="auto"/>
      </w:pPr>
      <w:r>
        <w:separator/>
      </w:r>
    </w:p>
  </w:endnote>
  <w:endnote w:type="continuationSeparator" w:id="0">
    <w:p w:rsidR="00F10BFC" w:rsidRDefault="00F10BFC" w:rsidP="0062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677477"/>
      <w:docPartObj>
        <w:docPartGallery w:val="Page Numbers (Bottom of Page)"/>
        <w:docPartUnique/>
      </w:docPartObj>
    </w:sdtPr>
    <w:sdtEndPr>
      <w:rPr>
        <w:noProof/>
      </w:rPr>
    </w:sdtEndPr>
    <w:sdtContent>
      <w:p w:rsidR="001309E2" w:rsidRDefault="001309E2">
        <w:pPr>
          <w:pStyle w:val="Footer"/>
          <w:jc w:val="right"/>
        </w:pPr>
        <w:r>
          <w:fldChar w:fldCharType="begin"/>
        </w:r>
        <w:r>
          <w:instrText xml:space="preserve"> PAGE   \* MERGEFORMAT </w:instrText>
        </w:r>
        <w:r>
          <w:fldChar w:fldCharType="separate"/>
        </w:r>
        <w:r w:rsidR="00D8457E">
          <w:rPr>
            <w:noProof/>
          </w:rPr>
          <w:t>1</w:t>
        </w:r>
        <w:r>
          <w:rPr>
            <w:noProof/>
          </w:rPr>
          <w:fldChar w:fldCharType="end"/>
        </w:r>
      </w:p>
    </w:sdtContent>
  </w:sdt>
  <w:p w:rsidR="001309E2" w:rsidRDefault="0013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FC" w:rsidRDefault="00F10BFC" w:rsidP="00625AAE">
      <w:pPr>
        <w:spacing w:after="0" w:line="240" w:lineRule="auto"/>
      </w:pPr>
      <w:r>
        <w:separator/>
      </w:r>
    </w:p>
  </w:footnote>
  <w:footnote w:type="continuationSeparator" w:id="0">
    <w:p w:rsidR="00F10BFC" w:rsidRDefault="00F10BFC" w:rsidP="00625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1C07"/>
    <w:multiLevelType w:val="hybridMultilevel"/>
    <w:tmpl w:val="DB724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C0180"/>
    <w:multiLevelType w:val="hybridMultilevel"/>
    <w:tmpl w:val="69C63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D4C06"/>
    <w:multiLevelType w:val="hybridMultilevel"/>
    <w:tmpl w:val="69DC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C351F"/>
    <w:multiLevelType w:val="hybridMultilevel"/>
    <w:tmpl w:val="A55C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C29EC"/>
    <w:multiLevelType w:val="hybridMultilevel"/>
    <w:tmpl w:val="F05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CF"/>
    <w:rsid w:val="0000406E"/>
    <w:rsid w:val="000215D7"/>
    <w:rsid w:val="00030C46"/>
    <w:rsid w:val="00042BCB"/>
    <w:rsid w:val="00046DC8"/>
    <w:rsid w:val="00061BEB"/>
    <w:rsid w:val="000A0035"/>
    <w:rsid w:val="000A476B"/>
    <w:rsid w:val="000A6371"/>
    <w:rsid w:val="000A79D9"/>
    <w:rsid w:val="000B4D71"/>
    <w:rsid w:val="000B586A"/>
    <w:rsid w:val="000D036A"/>
    <w:rsid w:val="000D328F"/>
    <w:rsid w:val="000D55C6"/>
    <w:rsid w:val="000E7DB4"/>
    <w:rsid w:val="001024ED"/>
    <w:rsid w:val="0011063C"/>
    <w:rsid w:val="001117BE"/>
    <w:rsid w:val="00114253"/>
    <w:rsid w:val="001309E2"/>
    <w:rsid w:val="001418B9"/>
    <w:rsid w:val="00162116"/>
    <w:rsid w:val="0016447F"/>
    <w:rsid w:val="0018176B"/>
    <w:rsid w:val="0018572B"/>
    <w:rsid w:val="00187813"/>
    <w:rsid w:val="0019034C"/>
    <w:rsid w:val="00192EE6"/>
    <w:rsid w:val="001937DF"/>
    <w:rsid w:val="001A4E58"/>
    <w:rsid w:val="001B30ED"/>
    <w:rsid w:val="001D3ADB"/>
    <w:rsid w:val="002119D0"/>
    <w:rsid w:val="00214AF0"/>
    <w:rsid w:val="00220159"/>
    <w:rsid w:val="00230066"/>
    <w:rsid w:val="00231970"/>
    <w:rsid w:val="002566D2"/>
    <w:rsid w:val="00266989"/>
    <w:rsid w:val="00274F6A"/>
    <w:rsid w:val="0028193E"/>
    <w:rsid w:val="002A2943"/>
    <w:rsid w:val="002A4320"/>
    <w:rsid w:val="002C2FB4"/>
    <w:rsid w:val="002F4B70"/>
    <w:rsid w:val="002F4CDF"/>
    <w:rsid w:val="00301FEA"/>
    <w:rsid w:val="00310341"/>
    <w:rsid w:val="00327D90"/>
    <w:rsid w:val="003445CF"/>
    <w:rsid w:val="003454D1"/>
    <w:rsid w:val="0035230B"/>
    <w:rsid w:val="00354EFA"/>
    <w:rsid w:val="00365623"/>
    <w:rsid w:val="0037571D"/>
    <w:rsid w:val="00382111"/>
    <w:rsid w:val="00393E55"/>
    <w:rsid w:val="003A00D4"/>
    <w:rsid w:val="003A6C42"/>
    <w:rsid w:val="003B0CF5"/>
    <w:rsid w:val="003B1018"/>
    <w:rsid w:val="003C2AB1"/>
    <w:rsid w:val="003D343D"/>
    <w:rsid w:val="003D4810"/>
    <w:rsid w:val="003E15FE"/>
    <w:rsid w:val="003E52AD"/>
    <w:rsid w:val="003F07E8"/>
    <w:rsid w:val="003F1FB6"/>
    <w:rsid w:val="003F498F"/>
    <w:rsid w:val="003F5862"/>
    <w:rsid w:val="00432F1F"/>
    <w:rsid w:val="0043752A"/>
    <w:rsid w:val="00440B7F"/>
    <w:rsid w:val="004412FB"/>
    <w:rsid w:val="004479FF"/>
    <w:rsid w:val="00452FA4"/>
    <w:rsid w:val="004551F3"/>
    <w:rsid w:val="004733C9"/>
    <w:rsid w:val="004906BE"/>
    <w:rsid w:val="004B1DA2"/>
    <w:rsid w:val="004B2203"/>
    <w:rsid w:val="004F1446"/>
    <w:rsid w:val="00526748"/>
    <w:rsid w:val="00530277"/>
    <w:rsid w:val="00532CDE"/>
    <w:rsid w:val="00564753"/>
    <w:rsid w:val="00571AAB"/>
    <w:rsid w:val="005940DC"/>
    <w:rsid w:val="005964D3"/>
    <w:rsid w:val="005A51E1"/>
    <w:rsid w:val="005A6225"/>
    <w:rsid w:val="005B287E"/>
    <w:rsid w:val="005B76D9"/>
    <w:rsid w:val="005C7BED"/>
    <w:rsid w:val="005D7FF6"/>
    <w:rsid w:val="005F4D04"/>
    <w:rsid w:val="00601EFF"/>
    <w:rsid w:val="0060335B"/>
    <w:rsid w:val="00614A29"/>
    <w:rsid w:val="0062205A"/>
    <w:rsid w:val="00624769"/>
    <w:rsid w:val="00625AAE"/>
    <w:rsid w:val="00633AEC"/>
    <w:rsid w:val="00646F50"/>
    <w:rsid w:val="00665E8B"/>
    <w:rsid w:val="00670536"/>
    <w:rsid w:val="00670D1F"/>
    <w:rsid w:val="00671456"/>
    <w:rsid w:val="00690763"/>
    <w:rsid w:val="006A1610"/>
    <w:rsid w:val="006B0303"/>
    <w:rsid w:val="006B04A2"/>
    <w:rsid w:val="006B5488"/>
    <w:rsid w:val="006B6AEA"/>
    <w:rsid w:val="006C05FA"/>
    <w:rsid w:val="006C1EDC"/>
    <w:rsid w:val="006E3E98"/>
    <w:rsid w:val="006E50D8"/>
    <w:rsid w:val="006E6B96"/>
    <w:rsid w:val="006F143C"/>
    <w:rsid w:val="006F2F85"/>
    <w:rsid w:val="00712D51"/>
    <w:rsid w:val="007137B0"/>
    <w:rsid w:val="00714A02"/>
    <w:rsid w:val="00717DFD"/>
    <w:rsid w:val="007276CC"/>
    <w:rsid w:val="00730361"/>
    <w:rsid w:val="007474AF"/>
    <w:rsid w:val="007812EE"/>
    <w:rsid w:val="00785D51"/>
    <w:rsid w:val="00792797"/>
    <w:rsid w:val="007937D3"/>
    <w:rsid w:val="00796209"/>
    <w:rsid w:val="007B28F9"/>
    <w:rsid w:val="007B5366"/>
    <w:rsid w:val="007B6742"/>
    <w:rsid w:val="007D0AB4"/>
    <w:rsid w:val="007D3C67"/>
    <w:rsid w:val="007D422E"/>
    <w:rsid w:val="007D78D2"/>
    <w:rsid w:val="007E175E"/>
    <w:rsid w:val="007E3D7B"/>
    <w:rsid w:val="007F4B2A"/>
    <w:rsid w:val="007F63E3"/>
    <w:rsid w:val="00817DA9"/>
    <w:rsid w:val="00823F86"/>
    <w:rsid w:val="00831635"/>
    <w:rsid w:val="008361D4"/>
    <w:rsid w:val="00844809"/>
    <w:rsid w:val="008552C0"/>
    <w:rsid w:val="00856D1B"/>
    <w:rsid w:val="0087130E"/>
    <w:rsid w:val="00876252"/>
    <w:rsid w:val="0089261F"/>
    <w:rsid w:val="00892EB0"/>
    <w:rsid w:val="00895D81"/>
    <w:rsid w:val="00897F2B"/>
    <w:rsid w:val="008A719C"/>
    <w:rsid w:val="008E53A1"/>
    <w:rsid w:val="009129E2"/>
    <w:rsid w:val="009356C4"/>
    <w:rsid w:val="009570D0"/>
    <w:rsid w:val="0096389B"/>
    <w:rsid w:val="0097090B"/>
    <w:rsid w:val="00977A75"/>
    <w:rsid w:val="00991521"/>
    <w:rsid w:val="009A3A91"/>
    <w:rsid w:val="009B17D6"/>
    <w:rsid w:val="009D4216"/>
    <w:rsid w:val="009E33CF"/>
    <w:rsid w:val="009E4E7F"/>
    <w:rsid w:val="009E603D"/>
    <w:rsid w:val="009E7A95"/>
    <w:rsid w:val="009F1A8A"/>
    <w:rsid w:val="009F2924"/>
    <w:rsid w:val="009F663F"/>
    <w:rsid w:val="00A14A2C"/>
    <w:rsid w:val="00A2230E"/>
    <w:rsid w:val="00A223DA"/>
    <w:rsid w:val="00A35936"/>
    <w:rsid w:val="00A37F17"/>
    <w:rsid w:val="00A41900"/>
    <w:rsid w:val="00A50A90"/>
    <w:rsid w:val="00A537BA"/>
    <w:rsid w:val="00A71D1E"/>
    <w:rsid w:val="00AA3BAA"/>
    <w:rsid w:val="00AB5F74"/>
    <w:rsid w:val="00AB69CD"/>
    <w:rsid w:val="00AC5A27"/>
    <w:rsid w:val="00AD5F1D"/>
    <w:rsid w:val="00AE2449"/>
    <w:rsid w:val="00AE650C"/>
    <w:rsid w:val="00B02B4C"/>
    <w:rsid w:val="00B037A5"/>
    <w:rsid w:val="00B0745C"/>
    <w:rsid w:val="00B10F1A"/>
    <w:rsid w:val="00B11B62"/>
    <w:rsid w:val="00B2141D"/>
    <w:rsid w:val="00B2226C"/>
    <w:rsid w:val="00B22CA9"/>
    <w:rsid w:val="00B34B79"/>
    <w:rsid w:val="00B36912"/>
    <w:rsid w:val="00B4290C"/>
    <w:rsid w:val="00B45459"/>
    <w:rsid w:val="00B63294"/>
    <w:rsid w:val="00B67852"/>
    <w:rsid w:val="00B67A00"/>
    <w:rsid w:val="00B876D6"/>
    <w:rsid w:val="00B91815"/>
    <w:rsid w:val="00B95000"/>
    <w:rsid w:val="00BA102C"/>
    <w:rsid w:val="00BA4BC5"/>
    <w:rsid w:val="00BC1343"/>
    <w:rsid w:val="00BC26E9"/>
    <w:rsid w:val="00BC2864"/>
    <w:rsid w:val="00BD04AF"/>
    <w:rsid w:val="00BD1090"/>
    <w:rsid w:val="00BE3A20"/>
    <w:rsid w:val="00BE3F7B"/>
    <w:rsid w:val="00BF1E95"/>
    <w:rsid w:val="00BF576F"/>
    <w:rsid w:val="00C03DEA"/>
    <w:rsid w:val="00C06D60"/>
    <w:rsid w:val="00C118C7"/>
    <w:rsid w:val="00C216EF"/>
    <w:rsid w:val="00C25B12"/>
    <w:rsid w:val="00C3044C"/>
    <w:rsid w:val="00C3614F"/>
    <w:rsid w:val="00C364E3"/>
    <w:rsid w:val="00C47307"/>
    <w:rsid w:val="00C52C79"/>
    <w:rsid w:val="00C56342"/>
    <w:rsid w:val="00C64162"/>
    <w:rsid w:val="00C6797E"/>
    <w:rsid w:val="00C767D6"/>
    <w:rsid w:val="00CA78C5"/>
    <w:rsid w:val="00CB646A"/>
    <w:rsid w:val="00CC13D5"/>
    <w:rsid w:val="00CC5A0C"/>
    <w:rsid w:val="00CF5151"/>
    <w:rsid w:val="00CF603B"/>
    <w:rsid w:val="00CF6351"/>
    <w:rsid w:val="00D032DD"/>
    <w:rsid w:val="00D20406"/>
    <w:rsid w:val="00D32D2E"/>
    <w:rsid w:val="00D351A5"/>
    <w:rsid w:val="00D37917"/>
    <w:rsid w:val="00D37BF0"/>
    <w:rsid w:val="00D41B3E"/>
    <w:rsid w:val="00D42FC8"/>
    <w:rsid w:val="00D56D00"/>
    <w:rsid w:val="00D615CD"/>
    <w:rsid w:val="00D61BD0"/>
    <w:rsid w:val="00D62E48"/>
    <w:rsid w:val="00D66334"/>
    <w:rsid w:val="00D70785"/>
    <w:rsid w:val="00D74B06"/>
    <w:rsid w:val="00D8457E"/>
    <w:rsid w:val="00DA0657"/>
    <w:rsid w:val="00DA44D0"/>
    <w:rsid w:val="00DE6ADC"/>
    <w:rsid w:val="00DF0CEF"/>
    <w:rsid w:val="00E07B5F"/>
    <w:rsid w:val="00E159E4"/>
    <w:rsid w:val="00E17ECD"/>
    <w:rsid w:val="00E227F8"/>
    <w:rsid w:val="00E22FC0"/>
    <w:rsid w:val="00E31578"/>
    <w:rsid w:val="00E34F3D"/>
    <w:rsid w:val="00E71B39"/>
    <w:rsid w:val="00E73388"/>
    <w:rsid w:val="00E740D2"/>
    <w:rsid w:val="00E8555A"/>
    <w:rsid w:val="00E9456F"/>
    <w:rsid w:val="00E9726E"/>
    <w:rsid w:val="00E97E96"/>
    <w:rsid w:val="00EC5409"/>
    <w:rsid w:val="00F07541"/>
    <w:rsid w:val="00F10BFC"/>
    <w:rsid w:val="00F27E2F"/>
    <w:rsid w:val="00F27FEA"/>
    <w:rsid w:val="00F3200F"/>
    <w:rsid w:val="00F52F9E"/>
    <w:rsid w:val="00F53184"/>
    <w:rsid w:val="00F534B9"/>
    <w:rsid w:val="00F55AD0"/>
    <w:rsid w:val="00F62079"/>
    <w:rsid w:val="00F82C56"/>
    <w:rsid w:val="00F92278"/>
    <w:rsid w:val="00FB1AED"/>
    <w:rsid w:val="00FB74CC"/>
    <w:rsid w:val="00FC128B"/>
    <w:rsid w:val="00FC26F3"/>
    <w:rsid w:val="00FC5834"/>
    <w:rsid w:val="00FD1E95"/>
    <w:rsid w:val="00FD71B4"/>
    <w:rsid w:val="00FF1C48"/>
    <w:rsid w:val="00FF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4F"/>
    <w:pPr>
      <w:ind w:left="720"/>
      <w:contextualSpacing/>
    </w:pPr>
  </w:style>
  <w:style w:type="table" w:styleId="TableGrid">
    <w:name w:val="Table Grid"/>
    <w:basedOn w:val="TableNormal"/>
    <w:uiPriority w:val="59"/>
    <w:rsid w:val="00C3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CDE"/>
    <w:rPr>
      <w:sz w:val="16"/>
      <w:szCs w:val="16"/>
    </w:rPr>
  </w:style>
  <w:style w:type="paragraph" w:styleId="CommentText">
    <w:name w:val="annotation text"/>
    <w:basedOn w:val="Normal"/>
    <w:link w:val="CommentTextChar"/>
    <w:uiPriority w:val="99"/>
    <w:semiHidden/>
    <w:unhideWhenUsed/>
    <w:rsid w:val="00532CDE"/>
    <w:pPr>
      <w:spacing w:line="240" w:lineRule="auto"/>
    </w:pPr>
    <w:rPr>
      <w:sz w:val="20"/>
      <w:szCs w:val="20"/>
    </w:rPr>
  </w:style>
  <w:style w:type="character" w:customStyle="1" w:styleId="CommentTextChar">
    <w:name w:val="Comment Text Char"/>
    <w:basedOn w:val="DefaultParagraphFont"/>
    <w:link w:val="CommentText"/>
    <w:uiPriority w:val="99"/>
    <w:semiHidden/>
    <w:rsid w:val="00532CDE"/>
    <w:rPr>
      <w:sz w:val="20"/>
      <w:szCs w:val="20"/>
    </w:rPr>
  </w:style>
  <w:style w:type="paragraph" w:styleId="CommentSubject">
    <w:name w:val="annotation subject"/>
    <w:basedOn w:val="CommentText"/>
    <w:next w:val="CommentText"/>
    <w:link w:val="CommentSubjectChar"/>
    <w:uiPriority w:val="99"/>
    <w:semiHidden/>
    <w:unhideWhenUsed/>
    <w:rsid w:val="00532CDE"/>
    <w:rPr>
      <w:b/>
      <w:bCs/>
    </w:rPr>
  </w:style>
  <w:style w:type="character" w:customStyle="1" w:styleId="CommentSubjectChar">
    <w:name w:val="Comment Subject Char"/>
    <w:basedOn w:val="CommentTextChar"/>
    <w:link w:val="CommentSubject"/>
    <w:uiPriority w:val="99"/>
    <w:semiHidden/>
    <w:rsid w:val="00532CDE"/>
    <w:rPr>
      <w:b/>
      <w:bCs/>
      <w:sz w:val="20"/>
      <w:szCs w:val="20"/>
    </w:rPr>
  </w:style>
  <w:style w:type="paragraph" w:styleId="BalloonText">
    <w:name w:val="Balloon Text"/>
    <w:basedOn w:val="Normal"/>
    <w:link w:val="BalloonTextChar"/>
    <w:uiPriority w:val="99"/>
    <w:semiHidden/>
    <w:unhideWhenUsed/>
    <w:rsid w:val="0053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CDE"/>
    <w:rPr>
      <w:rFonts w:ascii="Tahoma" w:hAnsi="Tahoma" w:cs="Tahoma"/>
      <w:sz w:val="16"/>
      <w:szCs w:val="16"/>
    </w:rPr>
  </w:style>
  <w:style w:type="paragraph" w:styleId="Revision">
    <w:name w:val="Revision"/>
    <w:hidden/>
    <w:uiPriority w:val="99"/>
    <w:semiHidden/>
    <w:rsid w:val="00665E8B"/>
    <w:pPr>
      <w:spacing w:after="0" w:line="240" w:lineRule="auto"/>
    </w:pPr>
  </w:style>
  <w:style w:type="paragraph" w:styleId="Header">
    <w:name w:val="header"/>
    <w:basedOn w:val="Normal"/>
    <w:link w:val="HeaderChar"/>
    <w:uiPriority w:val="99"/>
    <w:unhideWhenUsed/>
    <w:rsid w:val="0062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AE"/>
  </w:style>
  <w:style w:type="paragraph" w:styleId="Footer">
    <w:name w:val="footer"/>
    <w:basedOn w:val="Normal"/>
    <w:link w:val="FooterChar"/>
    <w:uiPriority w:val="99"/>
    <w:unhideWhenUsed/>
    <w:rsid w:val="0062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4F"/>
    <w:pPr>
      <w:ind w:left="720"/>
      <w:contextualSpacing/>
    </w:pPr>
  </w:style>
  <w:style w:type="table" w:styleId="TableGrid">
    <w:name w:val="Table Grid"/>
    <w:basedOn w:val="TableNormal"/>
    <w:uiPriority w:val="59"/>
    <w:rsid w:val="00C3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2CDE"/>
    <w:rPr>
      <w:sz w:val="16"/>
      <w:szCs w:val="16"/>
    </w:rPr>
  </w:style>
  <w:style w:type="paragraph" w:styleId="CommentText">
    <w:name w:val="annotation text"/>
    <w:basedOn w:val="Normal"/>
    <w:link w:val="CommentTextChar"/>
    <w:uiPriority w:val="99"/>
    <w:semiHidden/>
    <w:unhideWhenUsed/>
    <w:rsid w:val="00532CDE"/>
    <w:pPr>
      <w:spacing w:line="240" w:lineRule="auto"/>
    </w:pPr>
    <w:rPr>
      <w:sz w:val="20"/>
      <w:szCs w:val="20"/>
    </w:rPr>
  </w:style>
  <w:style w:type="character" w:customStyle="1" w:styleId="CommentTextChar">
    <w:name w:val="Comment Text Char"/>
    <w:basedOn w:val="DefaultParagraphFont"/>
    <w:link w:val="CommentText"/>
    <w:uiPriority w:val="99"/>
    <w:semiHidden/>
    <w:rsid w:val="00532CDE"/>
    <w:rPr>
      <w:sz w:val="20"/>
      <w:szCs w:val="20"/>
    </w:rPr>
  </w:style>
  <w:style w:type="paragraph" w:styleId="CommentSubject">
    <w:name w:val="annotation subject"/>
    <w:basedOn w:val="CommentText"/>
    <w:next w:val="CommentText"/>
    <w:link w:val="CommentSubjectChar"/>
    <w:uiPriority w:val="99"/>
    <w:semiHidden/>
    <w:unhideWhenUsed/>
    <w:rsid w:val="00532CDE"/>
    <w:rPr>
      <w:b/>
      <w:bCs/>
    </w:rPr>
  </w:style>
  <w:style w:type="character" w:customStyle="1" w:styleId="CommentSubjectChar">
    <w:name w:val="Comment Subject Char"/>
    <w:basedOn w:val="CommentTextChar"/>
    <w:link w:val="CommentSubject"/>
    <w:uiPriority w:val="99"/>
    <w:semiHidden/>
    <w:rsid w:val="00532CDE"/>
    <w:rPr>
      <w:b/>
      <w:bCs/>
      <w:sz w:val="20"/>
      <w:szCs w:val="20"/>
    </w:rPr>
  </w:style>
  <w:style w:type="paragraph" w:styleId="BalloonText">
    <w:name w:val="Balloon Text"/>
    <w:basedOn w:val="Normal"/>
    <w:link w:val="BalloonTextChar"/>
    <w:uiPriority w:val="99"/>
    <w:semiHidden/>
    <w:unhideWhenUsed/>
    <w:rsid w:val="00532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CDE"/>
    <w:rPr>
      <w:rFonts w:ascii="Tahoma" w:hAnsi="Tahoma" w:cs="Tahoma"/>
      <w:sz w:val="16"/>
      <w:szCs w:val="16"/>
    </w:rPr>
  </w:style>
  <w:style w:type="paragraph" w:styleId="Revision">
    <w:name w:val="Revision"/>
    <w:hidden/>
    <w:uiPriority w:val="99"/>
    <w:semiHidden/>
    <w:rsid w:val="00665E8B"/>
    <w:pPr>
      <w:spacing w:after="0" w:line="240" w:lineRule="auto"/>
    </w:pPr>
  </w:style>
  <w:style w:type="paragraph" w:styleId="Header">
    <w:name w:val="header"/>
    <w:basedOn w:val="Normal"/>
    <w:link w:val="HeaderChar"/>
    <w:uiPriority w:val="99"/>
    <w:unhideWhenUsed/>
    <w:rsid w:val="0062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AE"/>
  </w:style>
  <w:style w:type="paragraph" w:styleId="Footer">
    <w:name w:val="footer"/>
    <w:basedOn w:val="Normal"/>
    <w:link w:val="FooterChar"/>
    <w:uiPriority w:val="99"/>
    <w:unhideWhenUsed/>
    <w:rsid w:val="0062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2015-04-02T14:52:00Z</dcterms:created>
  <dcterms:modified xsi:type="dcterms:W3CDTF">2015-04-02T14:52:00Z</dcterms:modified>
</cp:coreProperties>
</file>