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0AAA" w14:textId="4737AE96" w:rsidR="008A1370" w:rsidRPr="008A1370" w:rsidRDefault="00B86E1D" w:rsidP="008A13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13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Text S1. </w:t>
      </w:r>
      <w:r w:rsidR="008A1370" w:rsidRPr="008A13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Additional information on the qualitative coding and analysis process </w:t>
      </w:r>
    </w:p>
    <w:p w14:paraId="49ECEA3F" w14:textId="77777777" w:rsidR="008A1370" w:rsidRDefault="008A1370" w:rsidP="008A1370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DFC2D9B" w14:textId="431433E2" w:rsidR="00FB1CD3" w:rsidRPr="00EB1095" w:rsidRDefault="00324346" w:rsidP="008A1370">
      <w:pPr>
        <w:jc w:val="both"/>
        <w:rPr>
          <w:rFonts w:ascii="Times New Roman" w:eastAsia="Times New Roman" w:hAnsi="Times New Roman" w:cs="Times New Roman"/>
          <w:lang w:val="en-GB"/>
        </w:rPr>
      </w:pPr>
      <w:r w:rsidRPr="00C43A6B">
        <w:rPr>
          <w:rFonts w:ascii="Times New Roman" w:eastAsia="Times New Roman" w:hAnsi="Times New Roman" w:cs="Times New Roman"/>
          <w:lang w:val="en-US"/>
        </w:rPr>
        <w:t xml:space="preserve">Documents </w:t>
      </w:r>
      <w:r w:rsidR="00461701" w:rsidRPr="00C43A6B">
        <w:rPr>
          <w:rFonts w:ascii="Times New Roman" w:eastAsia="Times New Roman" w:hAnsi="Times New Roman" w:cs="Times New Roman"/>
          <w:lang w:val="en-US"/>
        </w:rPr>
        <w:t>and reports were</w:t>
      </w:r>
      <w:r w:rsidRPr="00C43A6B">
        <w:rPr>
          <w:rFonts w:ascii="Times New Roman" w:eastAsia="Times New Roman" w:hAnsi="Times New Roman" w:cs="Times New Roman"/>
          <w:lang w:val="en-US"/>
        </w:rPr>
        <w:t xml:space="preserve"> </w:t>
      </w:r>
      <w:r w:rsidR="00461701" w:rsidRPr="00C43A6B">
        <w:rPr>
          <w:rFonts w:ascii="Times New Roman" w:eastAsia="Times New Roman" w:hAnsi="Times New Roman" w:cs="Times New Roman"/>
          <w:lang w:val="en-US"/>
        </w:rPr>
        <w:t>analyzed</w:t>
      </w:r>
      <w:r w:rsidR="00FB1CD3" w:rsidRPr="00C43A6B">
        <w:rPr>
          <w:rFonts w:ascii="Times New Roman" w:eastAsia="Times New Roman" w:hAnsi="Times New Roman" w:cs="Times New Roman"/>
          <w:lang w:val="en-US"/>
        </w:rPr>
        <w:t xml:space="preserve"> using qualitative content analysis</w:t>
      </w:r>
      <w:r w:rsidR="00A01E46" w:rsidRPr="00C43A6B">
        <w:rPr>
          <w:rFonts w:ascii="Times New Roman" w:eastAsia="Times New Roman" w:hAnsi="Times New Roman" w:cs="Times New Roman"/>
          <w:lang w:val="en-US"/>
        </w:rPr>
        <w:t xml:space="preserve"> to </w:t>
      </w:r>
      <w:r w:rsidR="00A01E46" w:rsidRPr="00C43A6B">
        <w:rPr>
          <w:rFonts w:ascii="Times New Roman" w:eastAsia="Cambria" w:hAnsi="Times New Roman" w:cs="Times New Roman"/>
          <w:color w:val="000000"/>
          <w:lang w:val="en-US"/>
        </w:rPr>
        <w:t xml:space="preserve">outline </w:t>
      </w:r>
      <w:r w:rsidR="00A01E46" w:rsidRPr="00C43A6B">
        <w:rPr>
          <w:rFonts w:ascii="Times New Roman" w:hAnsi="Times New Roman" w:cs="Times New Roman"/>
          <w:lang w:val="en-US"/>
        </w:rPr>
        <w:t>similarities and differences between systems regarding</w:t>
      </w:r>
      <w:r w:rsidR="00B50799" w:rsidRPr="00C43A6B">
        <w:rPr>
          <w:rFonts w:ascii="Times New Roman" w:hAnsi="Times New Roman" w:cs="Times New Roman"/>
          <w:lang w:val="en-US"/>
        </w:rPr>
        <w:t xml:space="preserve"> their</w:t>
      </w:r>
      <w:r w:rsidR="00A01E46" w:rsidRPr="00C43A6B">
        <w:rPr>
          <w:rFonts w:ascii="Times New Roman" w:hAnsi="Times New Roman" w:cs="Times New Roman"/>
          <w:lang w:val="en-US"/>
        </w:rPr>
        <w:t xml:space="preserve"> constitution and</w:t>
      </w:r>
      <w:r w:rsidR="00C43A6B" w:rsidRPr="00C43A6B">
        <w:rPr>
          <w:rFonts w:ascii="Times New Roman" w:hAnsi="Times New Roman" w:cs="Times New Roman"/>
          <w:lang w:val="en-US"/>
        </w:rPr>
        <w:t xml:space="preserve"> the</w:t>
      </w:r>
      <w:r w:rsidR="00A01E46" w:rsidRPr="00C43A6B">
        <w:rPr>
          <w:rFonts w:ascii="Times New Roman" w:hAnsi="Times New Roman" w:cs="Times New Roman"/>
          <w:lang w:val="en-US"/>
        </w:rPr>
        <w:t xml:space="preserve"> procedures</w:t>
      </w:r>
      <w:r w:rsidR="00987D7A">
        <w:rPr>
          <w:rFonts w:ascii="Times New Roman" w:hAnsi="Times New Roman" w:cs="Times New Roman"/>
          <w:lang w:val="en-US"/>
        </w:rPr>
        <w:t>,</w:t>
      </w:r>
      <w:r w:rsidR="00C43A6B" w:rsidRPr="00C43A6B">
        <w:rPr>
          <w:rFonts w:ascii="Times New Roman" w:hAnsi="Times New Roman" w:cs="Times New Roman"/>
          <w:lang w:val="en-US"/>
        </w:rPr>
        <w:t xml:space="preserve"> </w:t>
      </w:r>
      <w:r w:rsidR="00C43A6B" w:rsidRPr="00C43A6B">
        <w:rPr>
          <w:rFonts w:ascii="Times New Roman" w:eastAsia="Times New Roman" w:hAnsi="Times New Roman" w:cs="Times New Roman"/>
        </w:rPr>
        <w:t xml:space="preserve">under which the materials and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activities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of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pharmaceutical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companies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are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considered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in relation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to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requirements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of</w:t>
      </w:r>
      <w:proofErr w:type="spellEnd"/>
      <w:r w:rsidR="00C43A6B" w:rsidRPr="00C43A6B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C43A6B" w:rsidRPr="00C43A6B">
        <w:rPr>
          <w:rFonts w:ascii="Times New Roman" w:eastAsia="Times New Roman" w:hAnsi="Times New Roman" w:cs="Times New Roman"/>
        </w:rPr>
        <w:t>Code</w:t>
      </w:r>
      <w:proofErr w:type="spellEnd"/>
      <w:r w:rsidR="00A01E46" w:rsidRPr="00C43A6B">
        <w:rPr>
          <w:rFonts w:ascii="Times New Roman" w:hAnsi="Times New Roman" w:cs="Times New Roman"/>
          <w:lang w:val="en-US"/>
        </w:rPr>
        <w:t xml:space="preserve">. </w:t>
      </w:r>
      <w:r w:rsidR="00FB1CD3" w:rsidRPr="00C43A6B">
        <w:rPr>
          <w:rFonts w:ascii="Times New Roman" w:eastAsia="Times New Roman" w:hAnsi="Times New Roman" w:cs="Times New Roman"/>
          <w:lang w:val="en-US"/>
        </w:rPr>
        <w:t xml:space="preserve">Content </w:t>
      </w:r>
      <w:r w:rsidR="00FB1CD3" w:rsidRPr="006E1B93">
        <w:rPr>
          <w:rFonts w:ascii="Times New Roman" w:eastAsia="Times New Roman" w:hAnsi="Times New Roman" w:cs="Times New Roman"/>
          <w:lang w:val="en-US"/>
        </w:rPr>
        <w:t>analysis refers</w:t>
      </w:r>
      <w:r w:rsidR="00987D7A">
        <w:rPr>
          <w:rFonts w:ascii="Times New Roman" w:eastAsia="Times New Roman" w:hAnsi="Times New Roman" w:cs="Times New Roman"/>
          <w:lang w:val="en-US"/>
        </w:rPr>
        <w:t xml:space="preserve"> </w:t>
      </w:r>
      <w:r w:rsidR="00987D7A" w:rsidRPr="006E1B93">
        <w:rPr>
          <w:rFonts w:ascii="Times New Roman" w:eastAsia="Times New Roman" w:hAnsi="Times New Roman" w:cs="Times New Roman"/>
          <w:lang w:val="en-US"/>
        </w:rPr>
        <w:t>here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 to a qualitative data reduction and sense-making effort that takes a volume of qualitative material and attempts to identify core consistencies. The procedure is</w:t>
      </w:r>
      <w:r w:rsidR="00AE7E53">
        <w:rPr>
          <w:rFonts w:ascii="Times New Roman" w:eastAsia="Times New Roman" w:hAnsi="Times New Roman" w:cs="Times New Roman"/>
          <w:lang w:val="en-US"/>
        </w:rPr>
        <w:t xml:space="preserve"> described in </w:t>
      </w:r>
      <w:r w:rsidR="00AE7E53">
        <w:rPr>
          <w:rFonts w:ascii="Times New Roman" w:eastAsia="Cambria" w:hAnsi="Times New Roman" w:cs="Times New Roman"/>
          <w:noProof/>
        </w:rPr>
        <w:t>[1</w:t>
      </w:r>
      <w:r w:rsidR="00AE7E53" w:rsidRPr="00A84A33">
        <w:rPr>
          <w:rFonts w:ascii="Times New Roman" w:eastAsia="Cambria" w:hAnsi="Times New Roman" w:cs="Times New Roman"/>
          <w:noProof/>
        </w:rPr>
        <w:t>]</w:t>
      </w:r>
      <w:r w:rsidR="00AE7E53" w:rsidRPr="00A84A33">
        <w:rPr>
          <w:rFonts w:ascii="Times New Roman" w:hAnsi="Times New Roman" w:cs="Times New Roman"/>
        </w:rPr>
        <w:t>.</w:t>
      </w:r>
      <w:r w:rsidR="00AE7E53" w:rsidRPr="00A84A33">
        <w:rPr>
          <w:rFonts w:ascii="Times New Roman" w:eastAsia="Cambria" w:hAnsi="Times New Roman" w:cs="Times New Roman"/>
          <w:color w:val="000000"/>
        </w:rPr>
        <w:t xml:space="preserve"> </w:t>
      </w:r>
      <w:r w:rsidR="00B50799" w:rsidRPr="006E1B93">
        <w:rPr>
          <w:rFonts w:ascii="Times New Roman" w:eastAsia="Times New Roman" w:hAnsi="Times New Roman" w:cs="Times New Roman"/>
          <w:lang w:val="en-US"/>
        </w:rPr>
        <w:t>Briefly</w:t>
      </w:r>
      <w:r w:rsidR="00272AA0">
        <w:rPr>
          <w:rFonts w:ascii="Times New Roman" w:eastAsia="Times New Roman" w:hAnsi="Times New Roman" w:cs="Times New Roman"/>
          <w:lang w:val="en-US"/>
        </w:rPr>
        <w:t>,</w:t>
      </w:r>
      <w:r w:rsidR="00B50799" w:rsidRPr="006E1B93">
        <w:rPr>
          <w:rFonts w:ascii="Times New Roman" w:eastAsia="Times New Roman" w:hAnsi="Times New Roman" w:cs="Times New Roman"/>
          <w:lang w:val="en-US"/>
        </w:rPr>
        <w:t xml:space="preserve"> it</w:t>
      </w:r>
      <w:r w:rsidR="00A01E46" w:rsidRPr="006E1B93">
        <w:rPr>
          <w:rFonts w:ascii="Times New Roman" w:eastAsia="Times New Roman" w:hAnsi="Times New Roman" w:cs="Times New Roman"/>
          <w:lang w:val="en-US"/>
        </w:rPr>
        <w:t xml:space="preserve"> </w:t>
      </w:r>
      <w:r w:rsidR="00272AA0">
        <w:rPr>
          <w:rFonts w:ascii="Times New Roman" w:eastAsia="Times New Roman" w:hAnsi="Times New Roman" w:cs="Times New Roman"/>
          <w:lang w:val="en-US"/>
        </w:rPr>
        <w:t>was</w:t>
      </w:r>
      <w:r w:rsidR="00B50799" w:rsidRPr="006E1B93">
        <w:rPr>
          <w:rFonts w:ascii="Times New Roman" w:eastAsia="Times New Roman" w:hAnsi="Times New Roman" w:cs="Times New Roman"/>
          <w:lang w:val="en-US"/>
        </w:rPr>
        <w:t xml:space="preserve"> as follows.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 </w:t>
      </w:r>
      <w:r w:rsidR="00B50799" w:rsidRPr="006E1B93">
        <w:rPr>
          <w:rFonts w:ascii="Times New Roman" w:eastAsia="Times New Roman" w:hAnsi="Times New Roman" w:cs="Times New Roman"/>
          <w:lang w:val="en-US"/>
        </w:rPr>
        <w:t>D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ata </w:t>
      </w:r>
      <w:r w:rsidR="00272AA0">
        <w:rPr>
          <w:rFonts w:ascii="Times New Roman" w:eastAsia="Times New Roman" w:hAnsi="Times New Roman" w:cs="Times New Roman"/>
          <w:lang w:val="en-US"/>
        </w:rPr>
        <w:t>were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 collected</w:t>
      </w:r>
      <w:r w:rsidR="008A6966">
        <w:rPr>
          <w:rFonts w:ascii="Times New Roman" w:eastAsia="Times New Roman" w:hAnsi="Times New Roman" w:cs="Times New Roman"/>
          <w:lang w:val="en-US"/>
        </w:rPr>
        <w:t xml:space="preserve"> and divided into meaning units, i.e. </w:t>
      </w:r>
      <w:r w:rsidR="00272AA0">
        <w:rPr>
          <w:rFonts w:ascii="Times New Roman" w:eastAsia="Times New Roman" w:hAnsi="Times New Roman" w:cs="Times New Roman"/>
          <w:lang w:val="en-US"/>
        </w:rPr>
        <w:t xml:space="preserve">sentences or paragraphs containing aspects related to each other through their content and context. </w:t>
      </w:r>
      <w:r w:rsidR="008A6966">
        <w:rPr>
          <w:rFonts w:ascii="Times New Roman" w:eastAsia="Times New Roman" w:hAnsi="Times New Roman" w:cs="Times New Roman"/>
          <w:lang w:val="en-US"/>
        </w:rPr>
        <w:t xml:space="preserve">Meaning units </w:t>
      </w:r>
      <w:r w:rsidR="008A1370">
        <w:rPr>
          <w:rFonts w:ascii="Times New Roman" w:eastAsia="Times New Roman" w:hAnsi="Times New Roman" w:cs="Times New Roman"/>
          <w:lang w:val="en-US"/>
        </w:rPr>
        <w:t>were condensed. C</w:t>
      </w:r>
      <w:r w:rsidR="008A6966">
        <w:rPr>
          <w:rFonts w:ascii="Times New Roman" w:eastAsia="Times New Roman" w:hAnsi="Times New Roman" w:cs="Times New Roman"/>
          <w:lang w:val="en-US"/>
        </w:rPr>
        <w:t xml:space="preserve">ondensed meaning units </w:t>
      </w:r>
      <w:r w:rsidR="008A1370">
        <w:rPr>
          <w:rFonts w:ascii="Times New Roman" w:eastAsia="Times New Roman" w:hAnsi="Times New Roman" w:cs="Times New Roman"/>
          <w:lang w:val="en-US"/>
        </w:rPr>
        <w:t>were abstracted and</w:t>
      </w:r>
      <w:r w:rsidR="00272AA0">
        <w:rPr>
          <w:rFonts w:ascii="Times New Roman" w:eastAsia="Times New Roman" w:hAnsi="Times New Roman" w:cs="Times New Roman"/>
          <w:lang w:val="en-US"/>
        </w:rPr>
        <w:t xml:space="preserve"> </w:t>
      </w:r>
      <w:r w:rsidR="00FB1CD3" w:rsidRPr="006E1B93">
        <w:rPr>
          <w:rFonts w:ascii="Times New Roman" w:eastAsia="Times New Roman" w:hAnsi="Times New Roman" w:cs="Times New Roman"/>
          <w:lang w:val="en-US"/>
        </w:rPr>
        <w:t>coded</w:t>
      </w:r>
      <w:r w:rsidR="008A6966">
        <w:rPr>
          <w:rFonts w:ascii="Times New Roman" w:eastAsia="Times New Roman" w:hAnsi="Times New Roman" w:cs="Times New Roman"/>
          <w:lang w:val="en-US"/>
        </w:rPr>
        <w:t xml:space="preserve"> int</w:t>
      </w:r>
      <w:r w:rsidR="008A1370">
        <w:rPr>
          <w:rFonts w:ascii="Times New Roman" w:eastAsia="Times New Roman" w:hAnsi="Times New Roman" w:cs="Times New Roman"/>
          <w:lang w:val="en-US"/>
        </w:rPr>
        <w:t>o categories and when relevant</w:t>
      </w:r>
      <w:r w:rsidR="008A6966">
        <w:rPr>
          <w:rFonts w:ascii="Times New Roman" w:eastAsia="Times New Roman" w:hAnsi="Times New Roman" w:cs="Times New Roman"/>
          <w:lang w:val="en-US"/>
        </w:rPr>
        <w:t xml:space="preserve"> </w:t>
      </w:r>
      <w:r w:rsidR="00272AA0">
        <w:rPr>
          <w:rFonts w:ascii="Times New Roman" w:eastAsia="Times New Roman" w:hAnsi="Times New Roman" w:cs="Times New Roman"/>
          <w:lang w:val="en-US"/>
        </w:rPr>
        <w:t xml:space="preserve">into </w:t>
      </w:r>
      <w:r w:rsidR="008A6966">
        <w:rPr>
          <w:rFonts w:ascii="Times New Roman" w:eastAsia="Times New Roman" w:hAnsi="Times New Roman" w:cs="Times New Roman"/>
          <w:lang w:val="en-US"/>
        </w:rPr>
        <w:t>sub-categories</w:t>
      </w:r>
      <w:r w:rsidR="00FB1CD3" w:rsidRPr="006E1B93">
        <w:rPr>
          <w:rFonts w:ascii="Times New Roman" w:eastAsia="Times New Roman" w:hAnsi="Times New Roman" w:cs="Times New Roman"/>
          <w:lang w:val="en-US"/>
        </w:rPr>
        <w:t>.</w:t>
      </w:r>
      <w:r w:rsidR="00A01E46" w:rsidRPr="006E1B93">
        <w:rPr>
          <w:rFonts w:ascii="Times New Roman" w:eastAsia="Times New Roman" w:hAnsi="Times New Roman" w:cs="Times New Roman"/>
          <w:lang w:val="en-US"/>
        </w:rPr>
        <w:t xml:space="preserve"> Our analysis centered on the </w:t>
      </w:r>
      <w:r w:rsidR="00A01E46" w:rsidRPr="006E1B93">
        <w:rPr>
          <w:rFonts w:ascii="Times New Roman" w:hAnsi="Times New Roman" w:cs="Times New Roman"/>
          <w:lang w:val="en-US"/>
        </w:rPr>
        <w:t>respective Codes and associated documents outlining the workings of the systems.</w:t>
      </w:r>
      <w:r w:rsidR="00A01E46" w:rsidRPr="006E1B93">
        <w:rPr>
          <w:rFonts w:ascii="Times New Roman" w:eastAsia="Times New Roman" w:hAnsi="Times New Roman" w:cs="Times New Roman"/>
          <w:lang w:val="en-US"/>
        </w:rPr>
        <w:t xml:space="preserve"> These were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 read thoroughly several times in order to get an understanding of their </w:t>
      </w:r>
      <w:r w:rsidR="00272AA0">
        <w:rPr>
          <w:rFonts w:ascii="Times New Roman" w:eastAsia="Times New Roman" w:hAnsi="Times New Roman" w:cs="Times New Roman"/>
          <w:lang w:val="en-US"/>
        </w:rPr>
        <w:t xml:space="preserve">structure and </w:t>
      </w:r>
      <w:r w:rsidR="00FB1CD3" w:rsidRPr="006E1B93">
        <w:rPr>
          <w:rFonts w:ascii="Times New Roman" w:eastAsia="Times New Roman" w:hAnsi="Times New Roman" w:cs="Times New Roman"/>
          <w:lang w:val="en-US"/>
        </w:rPr>
        <w:t xml:space="preserve">content. </w:t>
      </w:r>
      <w:r w:rsidR="00A01E46" w:rsidRPr="006E1B93">
        <w:rPr>
          <w:rFonts w:ascii="Times New Roman" w:eastAsia="Times New Roman" w:hAnsi="Times New Roman" w:cs="Times New Roman"/>
          <w:lang w:val="en-US"/>
        </w:rPr>
        <w:t xml:space="preserve">We </w:t>
      </w:r>
      <w:r w:rsidR="00A01E46" w:rsidRPr="00EB1095">
        <w:rPr>
          <w:rFonts w:ascii="Times New Roman" w:eastAsia="Times New Roman" w:hAnsi="Times New Roman" w:cs="Times New Roman"/>
          <w:lang w:val="en-GB"/>
        </w:rPr>
        <w:t xml:space="preserve">also read </w:t>
      </w:r>
      <w:r w:rsidR="00A01E46" w:rsidRPr="00EB1095">
        <w:rPr>
          <w:rFonts w:ascii="Times New Roman" w:hAnsi="Times New Roman" w:cs="Times New Roman"/>
          <w:lang w:val="en-GB"/>
        </w:rPr>
        <w:t>reports produced by self-regulatory bodies on an annual, biannual or quarterly basis, as well as numerous individual case reports issued by self-regulatory bodies</w:t>
      </w:r>
      <w:r w:rsidR="00977855" w:rsidRPr="00EB1095">
        <w:rPr>
          <w:rFonts w:ascii="Times New Roman" w:hAnsi="Times New Roman" w:cs="Times New Roman"/>
          <w:lang w:val="en-GB"/>
        </w:rPr>
        <w:t>,</w:t>
      </w:r>
      <w:r w:rsidR="00A01E46" w:rsidRPr="00EB1095">
        <w:rPr>
          <w:rFonts w:ascii="Times New Roman" w:hAnsi="Times New Roman" w:cs="Times New Roman"/>
          <w:lang w:val="en-GB"/>
        </w:rPr>
        <w:t xml:space="preserve"> to get an </w:t>
      </w:r>
      <w:r w:rsidR="00977855" w:rsidRPr="00EB1095">
        <w:rPr>
          <w:rFonts w:ascii="Times New Roman" w:hAnsi="Times New Roman" w:cs="Times New Roman"/>
          <w:lang w:val="en-GB"/>
        </w:rPr>
        <w:t>understating</w:t>
      </w:r>
      <w:r w:rsidR="00A01E46" w:rsidRPr="00EB1095">
        <w:rPr>
          <w:rFonts w:ascii="Times New Roman" w:hAnsi="Times New Roman" w:cs="Times New Roman"/>
          <w:lang w:val="en-GB"/>
        </w:rPr>
        <w:t xml:space="preserve"> of </w:t>
      </w:r>
      <w:r w:rsidR="008F701F" w:rsidRPr="00EB1095">
        <w:rPr>
          <w:rFonts w:ascii="Times New Roman" w:hAnsi="Times New Roman" w:cs="Times New Roman"/>
          <w:lang w:val="en-GB"/>
        </w:rPr>
        <w:t>the actual working of systems</w:t>
      </w:r>
      <w:r w:rsidR="00977855" w:rsidRPr="00EB1095">
        <w:rPr>
          <w:rFonts w:ascii="Times New Roman" w:hAnsi="Times New Roman" w:cs="Times New Roman"/>
          <w:lang w:val="en-GB"/>
        </w:rPr>
        <w:t xml:space="preserve">. </w:t>
      </w:r>
      <w:r w:rsidR="00A01E46" w:rsidRPr="00EB1095">
        <w:rPr>
          <w:rFonts w:ascii="Times New Roman" w:eastAsia="Times New Roman" w:hAnsi="Times New Roman" w:cs="Times New Roman"/>
          <w:lang w:val="en-GB"/>
        </w:rPr>
        <w:t xml:space="preserve">The </w:t>
      </w:r>
      <w:r w:rsidR="00977855" w:rsidRPr="00EB1095">
        <w:rPr>
          <w:rFonts w:ascii="Times New Roman" w:eastAsia="Times New Roman" w:hAnsi="Times New Roman" w:cs="Times New Roman"/>
          <w:lang w:val="en-GB"/>
        </w:rPr>
        <w:t>section</w:t>
      </w:r>
      <w:r w:rsidR="008A6966" w:rsidRPr="00EB1095">
        <w:rPr>
          <w:rFonts w:ascii="Times New Roman" w:eastAsia="Times New Roman" w:hAnsi="Times New Roman" w:cs="Times New Roman"/>
          <w:lang w:val="en-GB"/>
        </w:rPr>
        <w:t>s</w:t>
      </w:r>
      <w:r w:rsidR="00A01E46" w:rsidRPr="00EB1095">
        <w:rPr>
          <w:rFonts w:ascii="Times New Roman" w:eastAsia="Times New Roman" w:hAnsi="Times New Roman" w:cs="Times New Roman"/>
          <w:lang w:val="en-GB"/>
        </w:rPr>
        <w:t xml:space="preserve"> </w:t>
      </w:r>
      <w:r w:rsidR="00977855" w:rsidRPr="00EB1095">
        <w:rPr>
          <w:rFonts w:ascii="Times New Roman" w:eastAsia="Times New Roman" w:hAnsi="Times New Roman" w:cs="Times New Roman"/>
          <w:lang w:val="en-GB"/>
        </w:rPr>
        <w:t xml:space="preserve">of the documents that pertained to the </w:t>
      </w:r>
      <w:r w:rsidR="00A01E46" w:rsidRPr="00EB1095">
        <w:rPr>
          <w:rFonts w:ascii="Times New Roman" w:hAnsi="Times New Roman" w:cs="Times New Roman"/>
          <w:lang w:val="en-GB"/>
        </w:rPr>
        <w:t>constitution and procedures</w:t>
      </w:r>
      <w:r w:rsidR="00977855" w:rsidRPr="00EB1095">
        <w:rPr>
          <w:rFonts w:ascii="Times New Roman" w:hAnsi="Times New Roman" w:cs="Times New Roman"/>
          <w:lang w:val="en-GB"/>
        </w:rPr>
        <w:t xml:space="preserve"> of self-regulatory systems</w:t>
      </w:r>
      <w:r w:rsidR="008A6966" w:rsidRPr="00EB1095">
        <w:rPr>
          <w:rFonts w:ascii="Times New Roman" w:hAnsi="Times New Roman" w:cs="Times New Roman"/>
          <w:lang w:val="en-GB"/>
        </w:rPr>
        <w:t xml:space="preserve"> were</w:t>
      </w:r>
      <w:r w:rsidR="00A01E46" w:rsidRPr="00EB1095">
        <w:rPr>
          <w:rFonts w:ascii="Times New Roman" w:hAnsi="Times New Roman" w:cs="Times New Roman"/>
          <w:lang w:val="en-GB"/>
        </w:rPr>
        <w:t xml:space="preserve"> </w:t>
      </w:r>
      <w:r w:rsidR="008A6966" w:rsidRPr="00EB1095">
        <w:rPr>
          <w:rFonts w:ascii="Times New Roman" w:hAnsi="Times New Roman" w:cs="Times New Roman"/>
          <w:lang w:val="en-GB"/>
        </w:rPr>
        <w:t>coded into</w:t>
      </w:r>
      <w:r w:rsidR="008A1370" w:rsidRPr="00EB1095">
        <w:rPr>
          <w:rFonts w:ascii="Times New Roman" w:eastAsia="Times New Roman" w:hAnsi="Times New Roman" w:cs="Times New Roman"/>
          <w:lang w:val="en-GB"/>
        </w:rPr>
        <w:t xml:space="preserve"> </w:t>
      </w:r>
      <w:r w:rsidR="00FB1CD3" w:rsidRPr="00EB1095">
        <w:rPr>
          <w:rFonts w:ascii="Times New Roman" w:eastAsia="Times New Roman" w:hAnsi="Times New Roman" w:cs="Times New Roman"/>
          <w:lang w:val="en-GB"/>
        </w:rPr>
        <w:t>categories</w:t>
      </w:r>
      <w:r w:rsidR="002E046F" w:rsidRPr="00EB1095">
        <w:rPr>
          <w:rFonts w:ascii="Times New Roman" w:eastAsia="Times New Roman" w:hAnsi="Times New Roman" w:cs="Times New Roman"/>
          <w:lang w:val="en-GB"/>
        </w:rPr>
        <w:t xml:space="preserve"> and sub-categories</w:t>
      </w:r>
      <w:r w:rsidR="00FB1CD3" w:rsidRPr="00EB1095">
        <w:rPr>
          <w:rFonts w:ascii="Times New Roman" w:eastAsia="Times New Roman" w:hAnsi="Times New Roman" w:cs="Times New Roman"/>
          <w:lang w:val="en-GB"/>
        </w:rPr>
        <w:t xml:space="preserve"> and</w:t>
      </w:r>
      <w:r w:rsidR="00977855" w:rsidRPr="00EB1095">
        <w:rPr>
          <w:rFonts w:ascii="Times New Roman" w:eastAsia="Times New Roman" w:hAnsi="Times New Roman" w:cs="Times New Roman"/>
          <w:lang w:val="en-GB"/>
        </w:rPr>
        <w:t xml:space="preserve"> then</w:t>
      </w:r>
      <w:r w:rsidR="00FB1CD3" w:rsidRPr="00EB1095">
        <w:rPr>
          <w:rFonts w:ascii="Times New Roman" w:eastAsia="Times New Roman" w:hAnsi="Times New Roman" w:cs="Times New Roman"/>
          <w:lang w:val="en-GB"/>
        </w:rPr>
        <w:t xml:space="preserve"> read again, which resulted in</w:t>
      </w:r>
      <w:r w:rsidR="002E046F" w:rsidRPr="00EB1095">
        <w:rPr>
          <w:rFonts w:ascii="Times New Roman" w:eastAsia="Times New Roman" w:hAnsi="Times New Roman" w:cs="Times New Roman"/>
          <w:lang w:val="en-GB"/>
        </w:rPr>
        <w:t xml:space="preserve"> some new categories and</w:t>
      </w:r>
      <w:r w:rsidR="00FB1CD3" w:rsidRPr="00EB1095">
        <w:rPr>
          <w:rFonts w:ascii="Times New Roman" w:eastAsia="Times New Roman" w:hAnsi="Times New Roman" w:cs="Times New Roman"/>
          <w:lang w:val="en-GB"/>
        </w:rPr>
        <w:t xml:space="preserve"> sub</w:t>
      </w:r>
      <w:r w:rsidR="002E046F" w:rsidRPr="00EB1095">
        <w:rPr>
          <w:rFonts w:ascii="Times New Roman" w:eastAsia="Times New Roman" w:hAnsi="Times New Roman" w:cs="Times New Roman"/>
          <w:lang w:val="en-GB"/>
        </w:rPr>
        <w:t>-</w:t>
      </w:r>
      <w:r w:rsidR="00FB1CD3" w:rsidRPr="00EB1095">
        <w:rPr>
          <w:rFonts w:ascii="Times New Roman" w:eastAsia="Times New Roman" w:hAnsi="Times New Roman" w:cs="Times New Roman"/>
          <w:lang w:val="en-GB"/>
        </w:rPr>
        <w:t>categories.</w:t>
      </w:r>
      <w:r w:rsidR="008F701F" w:rsidRPr="00EB1095">
        <w:rPr>
          <w:rFonts w:ascii="Times New Roman" w:eastAsia="Times New Roman" w:hAnsi="Times New Roman" w:cs="Times New Roman"/>
          <w:lang w:val="en-GB"/>
        </w:rPr>
        <w:t xml:space="preserve"> At this point we also compared </w:t>
      </w:r>
      <w:r w:rsidR="00B50799" w:rsidRPr="00EB1095">
        <w:rPr>
          <w:rFonts w:ascii="Times New Roman" w:eastAsia="Times New Roman" w:hAnsi="Times New Roman" w:cs="Times New Roman"/>
          <w:lang w:val="en-GB"/>
        </w:rPr>
        <w:t xml:space="preserve">the </w:t>
      </w:r>
      <w:r w:rsidR="008F701F" w:rsidRPr="00EB1095">
        <w:rPr>
          <w:rFonts w:ascii="Times New Roman" w:eastAsia="Times New Roman" w:hAnsi="Times New Roman" w:cs="Times New Roman"/>
          <w:lang w:val="en-GB"/>
        </w:rPr>
        <w:t>categories, sub</w:t>
      </w:r>
      <w:r w:rsidR="002E046F" w:rsidRPr="00EB1095">
        <w:rPr>
          <w:rFonts w:ascii="Times New Roman" w:eastAsia="Times New Roman" w:hAnsi="Times New Roman" w:cs="Times New Roman"/>
          <w:lang w:val="en-GB"/>
        </w:rPr>
        <w:t>-</w:t>
      </w:r>
      <w:r w:rsidR="008F701F" w:rsidRPr="00EB1095">
        <w:rPr>
          <w:rFonts w:ascii="Times New Roman" w:eastAsia="Times New Roman" w:hAnsi="Times New Roman" w:cs="Times New Roman"/>
          <w:lang w:val="en-GB"/>
        </w:rPr>
        <w:t>categories and meaning units</w:t>
      </w:r>
      <w:r w:rsidR="00B50799" w:rsidRPr="00EB1095">
        <w:rPr>
          <w:rFonts w:ascii="Times New Roman" w:eastAsia="Times New Roman" w:hAnsi="Times New Roman" w:cs="Times New Roman"/>
          <w:lang w:val="en-GB"/>
        </w:rPr>
        <w:t xml:space="preserve"> </w:t>
      </w:r>
      <w:r w:rsidR="00A01C53" w:rsidRPr="00EB1095">
        <w:rPr>
          <w:rFonts w:ascii="Times New Roman" w:eastAsia="Times New Roman" w:hAnsi="Times New Roman" w:cs="Times New Roman"/>
          <w:lang w:val="en-GB"/>
        </w:rPr>
        <w:t xml:space="preserve">obtained </w:t>
      </w:r>
      <w:r w:rsidR="00B50799" w:rsidRPr="00EB1095">
        <w:rPr>
          <w:rFonts w:ascii="Times New Roman" w:eastAsia="Times New Roman" w:hAnsi="Times New Roman" w:cs="Times New Roman"/>
          <w:lang w:val="en-GB"/>
        </w:rPr>
        <w:t>from the tw</w:t>
      </w:r>
      <w:r w:rsidR="00272AA0" w:rsidRPr="00EB1095">
        <w:rPr>
          <w:rFonts w:ascii="Times New Roman" w:eastAsia="Times New Roman" w:hAnsi="Times New Roman" w:cs="Times New Roman"/>
          <w:lang w:val="en-GB"/>
        </w:rPr>
        <w:t xml:space="preserve">o countries, which resulted in </w:t>
      </w:r>
      <w:r w:rsidR="00B50799" w:rsidRPr="00EB1095">
        <w:rPr>
          <w:rFonts w:ascii="Times New Roman" w:eastAsia="Times New Roman" w:hAnsi="Times New Roman" w:cs="Times New Roman"/>
          <w:lang w:val="en-GB"/>
        </w:rPr>
        <w:t>additional categories and sub</w:t>
      </w:r>
      <w:r w:rsidR="002E046F" w:rsidRPr="00EB1095">
        <w:rPr>
          <w:rFonts w:ascii="Times New Roman" w:eastAsia="Times New Roman" w:hAnsi="Times New Roman" w:cs="Times New Roman"/>
          <w:lang w:val="en-GB"/>
        </w:rPr>
        <w:t>-</w:t>
      </w:r>
      <w:r w:rsidR="00B50799" w:rsidRPr="00EB1095">
        <w:rPr>
          <w:rFonts w:ascii="Times New Roman" w:eastAsia="Times New Roman" w:hAnsi="Times New Roman" w:cs="Times New Roman"/>
          <w:lang w:val="en-GB"/>
        </w:rPr>
        <w:t xml:space="preserve">categories. </w:t>
      </w:r>
      <w:r w:rsidR="002E046F" w:rsidRPr="00EB1095">
        <w:rPr>
          <w:rFonts w:ascii="Times New Roman" w:eastAsia="Times New Roman" w:hAnsi="Times New Roman" w:cs="Times New Roman"/>
          <w:lang w:val="en-GB"/>
        </w:rPr>
        <w:t>An e</w:t>
      </w:r>
      <w:r w:rsidR="00A01E46" w:rsidRPr="00EB1095">
        <w:rPr>
          <w:rFonts w:ascii="Times New Roman" w:eastAsia="Times New Roman" w:hAnsi="Times New Roman" w:cs="Times New Roman"/>
          <w:lang w:val="en-GB"/>
        </w:rPr>
        <w:t xml:space="preserve">xample of the coding </w:t>
      </w:r>
      <w:r w:rsidR="00B50799" w:rsidRPr="00EB1095">
        <w:rPr>
          <w:rFonts w:ascii="Times New Roman" w:eastAsia="Times New Roman" w:hAnsi="Times New Roman" w:cs="Times New Roman"/>
          <w:lang w:val="en-GB"/>
        </w:rPr>
        <w:t xml:space="preserve">and analysis </w:t>
      </w:r>
      <w:r w:rsidR="00A01E46" w:rsidRPr="00EB1095">
        <w:rPr>
          <w:rFonts w:ascii="Times New Roman" w:eastAsia="Times New Roman" w:hAnsi="Times New Roman" w:cs="Times New Roman"/>
          <w:lang w:val="en-GB"/>
        </w:rPr>
        <w:t>process is presented in the Table below.</w:t>
      </w:r>
    </w:p>
    <w:p w14:paraId="23103025" w14:textId="77777777" w:rsidR="00272AA0" w:rsidRPr="006910E3" w:rsidRDefault="00272AA0" w:rsidP="00272AA0">
      <w:pPr>
        <w:spacing w:line="360" w:lineRule="auto"/>
        <w:jc w:val="both"/>
        <w:rPr>
          <w:rStyle w:val="Betoning2"/>
          <w:rFonts w:ascii="Times New Roman" w:eastAsia="Times New Roman" w:hAnsi="Times New Roman" w:cs="Times New Roman"/>
          <w:b w:val="0"/>
          <w:bCs w:val="0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2152"/>
      </w:tblGrid>
      <w:tr w:rsidR="00C12DF9" w:rsidRPr="006E1B93" w14:paraId="2784E26A" w14:textId="77777777" w:rsidTr="00C8405D">
        <w:tc>
          <w:tcPr>
            <w:tcW w:w="3510" w:type="dxa"/>
          </w:tcPr>
          <w:p w14:paraId="51B5A249" w14:textId="493BE2A1" w:rsidR="008F701F" w:rsidRPr="006E1B93" w:rsidRDefault="008F701F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b/>
                <w:lang w:val="en-US"/>
              </w:rPr>
              <w:t>Meaning Unit</w:t>
            </w:r>
            <w:r w:rsidR="00BA76E4" w:rsidRPr="00BA76E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2127" w:type="dxa"/>
          </w:tcPr>
          <w:p w14:paraId="401FA4BC" w14:textId="076A355B" w:rsidR="008F701F" w:rsidRPr="006E1B93" w:rsidRDefault="008F701F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b/>
                <w:lang w:val="en-US"/>
              </w:rPr>
              <w:t>Condensed meaning unit</w:t>
            </w:r>
          </w:p>
        </w:tc>
        <w:tc>
          <w:tcPr>
            <w:tcW w:w="1417" w:type="dxa"/>
          </w:tcPr>
          <w:p w14:paraId="18FF8E73" w14:textId="108D8E06" w:rsidR="008F701F" w:rsidRPr="006E1B93" w:rsidRDefault="008F701F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b/>
                <w:lang w:val="en-US"/>
              </w:rPr>
              <w:t>Category</w:t>
            </w:r>
          </w:p>
        </w:tc>
        <w:tc>
          <w:tcPr>
            <w:tcW w:w="2152" w:type="dxa"/>
          </w:tcPr>
          <w:p w14:paraId="1F089690" w14:textId="218E24DE" w:rsidR="008F701F" w:rsidRPr="006E1B93" w:rsidRDefault="008F701F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b/>
                <w:lang w:val="en-US"/>
              </w:rPr>
              <w:t xml:space="preserve">Sub-category </w:t>
            </w:r>
          </w:p>
        </w:tc>
      </w:tr>
      <w:tr w:rsidR="00D46656" w:rsidRPr="006E1B93" w14:paraId="75F8DF84" w14:textId="77777777" w:rsidTr="00C8405D">
        <w:tc>
          <w:tcPr>
            <w:tcW w:w="3510" w:type="dxa"/>
          </w:tcPr>
          <w:p w14:paraId="756B9366" w14:textId="7B471424" w:rsidR="00D46656" w:rsidRPr="006E1B93" w:rsidRDefault="00D46656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The task of monitoring the market is handled by the </w:t>
            </w:r>
            <w:proofErr w:type="spellStart"/>
            <w:r w:rsidRPr="006E1B93">
              <w:rPr>
                <w:rFonts w:ascii="Times New Roman" w:eastAsia="Times New Roman" w:hAnsi="Times New Roman" w:cs="Times New Roman"/>
                <w:lang w:val="en-US"/>
              </w:rPr>
              <w:t>IGM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127" w:type="dxa"/>
          </w:tcPr>
          <w:p w14:paraId="3B02B966" w14:textId="70DCAA8D" w:rsidR="00D46656" w:rsidRPr="006E1B93" w:rsidRDefault="00D46656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eastAsia="Cambria" w:hAnsi="Times New Roman" w:cs="Times New Roman"/>
                <w:color w:val="000000"/>
                <w:lang w:val="en-US"/>
              </w:rPr>
              <w:t xml:space="preserve">The </w:t>
            </w:r>
            <w:proofErr w:type="spellStart"/>
            <w:r w:rsidRPr="006E1B93">
              <w:rPr>
                <w:rFonts w:ascii="Times New Roman" w:eastAsia="Cambria" w:hAnsi="Times New Roman" w:cs="Times New Roman"/>
                <w:color w:val="000000"/>
                <w:lang w:val="en-US"/>
              </w:rPr>
              <w:t>IGM</w:t>
            </w:r>
            <w:proofErr w:type="spellEnd"/>
            <w:r w:rsidRPr="006E1B93">
              <w:rPr>
                <w:rFonts w:ascii="Times New Roman" w:eastAsia="Cambria" w:hAnsi="Times New Roman" w:cs="Times New Roman"/>
                <w:color w:val="000000"/>
                <w:lang w:val="en-US"/>
              </w:rPr>
              <w:t xml:space="preserve"> undertakes active monitoring</w:t>
            </w:r>
          </w:p>
        </w:tc>
        <w:tc>
          <w:tcPr>
            <w:tcW w:w="1417" w:type="dxa"/>
            <w:vMerge w:val="restart"/>
          </w:tcPr>
          <w:p w14:paraId="728F55F1" w14:textId="5C87DEA1" w:rsidR="00D46656" w:rsidRPr="006E1B93" w:rsidRDefault="00D46656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lang w:val="en-US"/>
              </w:rPr>
              <w:t>Active monitoring by self-regulatory bodies</w:t>
            </w:r>
          </w:p>
        </w:tc>
        <w:tc>
          <w:tcPr>
            <w:tcW w:w="2152" w:type="dxa"/>
          </w:tcPr>
          <w:p w14:paraId="7FE10139" w14:textId="6374A69F" w:rsidR="00D46656" w:rsidRPr="006E1B93" w:rsidRDefault="00D46656" w:rsidP="00C840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1B93">
              <w:rPr>
                <w:rFonts w:ascii="Times New Roman" w:hAnsi="Times New Roman" w:cs="Times New Roman"/>
                <w:lang w:val="en-US"/>
              </w:rPr>
              <w:t xml:space="preserve">Responsible body </w:t>
            </w:r>
          </w:p>
        </w:tc>
      </w:tr>
      <w:tr w:rsidR="00D46656" w:rsidRPr="006E1B93" w14:paraId="3670FF04" w14:textId="77777777" w:rsidTr="00C8405D">
        <w:trPr>
          <w:trHeight w:val="1217"/>
        </w:trPr>
        <w:tc>
          <w:tcPr>
            <w:tcW w:w="3510" w:type="dxa"/>
          </w:tcPr>
          <w:p w14:paraId="2FEEB6A7" w14:textId="79BD232A" w:rsidR="00D46656" w:rsidRPr="006E1B93" w:rsidRDefault="00D46656" w:rsidP="00C8405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In order for the </w:t>
            </w:r>
            <w:proofErr w:type="spellStart"/>
            <w:r w:rsidRPr="006E1B93">
              <w:rPr>
                <w:rFonts w:ascii="Times New Roman" w:eastAsia="Times New Roman" w:hAnsi="Times New Roman" w:cs="Times New Roman"/>
                <w:lang w:val="en-US"/>
              </w:rPr>
              <w:t>IGM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 to be able to carry out this task, the pharmaceutical companies must send new, up-to-date drug information to the </w:t>
            </w:r>
            <w:proofErr w:type="spellStart"/>
            <w:r w:rsidRPr="006E1B93">
              <w:rPr>
                <w:rFonts w:ascii="Times New Roman" w:eastAsia="Times New Roman" w:hAnsi="Times New Roman" w:cs="Times New Roman"/>
                <w:lang w:val="en-US"/>
              </w:rPr>
              <w:t>IGM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>, such as publications, advertisements, invitations, mailings, commercial films or information on websites.</w:t>
            </w:r>
          </w:p>
        </w:tc>
        <w:tc>
          <w:tcPr>
            <w:tcW w:w="2127" w:type="dxa"/>
          </w:tcPr>
          <w:p w14:paraId="73E1FCB5" w14:textId="5776E980" w:rsidR="00D46656" w:rsidRPr="006E1B93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Companies required to </w:t>
            </w:r>
            <w:r w:rsidRPr="006E1B93">
              <w:rPr>
                <w:rFonts w:ascii="Times New Roman" w:hAnsi="Times New Roman" w:cs="Times New Roman"/>
                <w:lang w:val="en-US"/>
              </w:rPr>
              <w:t>submit material</w:t>
            </w:r>
          </w:p>
        </w:tc>
        <w:tc>
          <w:tcPr>
            <w:tcW w:w="1417" w:type="dxa"/>
            <w:vMerge/>
          </w:tcPr>
          <w:p w14:paraId="3FA89601" w14:textId="678C63F5" w:rsidR="00D46656" w:rsidRPr="006E1B93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2" w:type="dxa"/>
          </w:tcPr>
          <w:p w14:paraId="418F6DB8" w14:textId="1D5FDDDF" w:rsidR="00D46656" w:rsidRPr="006E1B93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6E1B93">
              <w:rPr>
                <w:rFonts w:ascii="Times New Roman" w:hAnsi="Times New Roman" w:cs="Times New Roman"/>
                <w:lang w:val="en-US"/>
              </w:rPr>
              <w:t>Material collection</w:t>
            </w:r>
          </w:p>
        </w:tc>
      </w:tr>
      <w:tr w:rsidR="00D46656" w:rsidRPr="006E1B93" w14:paraId="648F797E" w14:textId="77777777" w:rsidTr="00C8405D">
        <w:tc>
          <w:tcPr>
            <w:tcW w:w="3510" w:type="dxa"/>
          </w:tcPr>
          <w:p w14:paraId="27F407C2" w14:textId="31DCCFBF" w:rsidR="00D46656" w:rsidRPr="00BA76E4" w:rsidRDefault="00D46656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76E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The Authority arranges for the scrutiny of samples of advertisements, detail aids, </w:t>
            </w:r>
            <w:proofErr w:type="spellStart"/>
            <w:r w:rsidRPr="00BA76E4">
              <w:rPr>
                <w:rFonts w:ascii="Times New Roman" w:eastAsia="Times New Roman" w:hAnsi="Times New Roman" w:cs="Times New Roman"/>
                <w:i/>
                <w:lang w:val="en-US"/>
              </w:rPr>
              <w:t>leavepieces</w:t>
            </w:r>
            <w:proofErr w:type="spellEnd"/>
            <w:r w:rsidRPr="00BA76E4">
              <w:rPr>
                <w:rFonts w:ascii="Times New Roman" w:eastAsia="Times New Roman" w:hAnsi="Times New Roman" w:cs="Times New Roman"/>
                <w:i/>
                <w:lang w:val="en-US"/>
              </w:rPr>
              <w:t>, other promotional items and meetings on a continuing basis in relation to the requirements of the Code</w:t>
            </w:r>
          </w:p>
        </w:tc>
        <w:tc>
          <w:tcPr>
            <w:tcW w:w="2127" w:type="dxa"/>
          </w:tcPr>
          <w:p w14:paraId="57DA6602" w14:textId="7F1A93F2" w:rsidR="00D46656" w:rsidRPr="00BA76E4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BA76E4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76E4">
              <w:rPr>
                <w:rFonts w:ascii="Times New Roman" w:hAnsi="Times New Roman" w:cs="Times New Roman"/>
                <w:lang w:val="en-US"/>
              </w:rPr>
              <w:t>PMCPA</w:t>
            </w:r>
            <w:proofErr w:type="spellEnd"/>
            <w:r w:rsidRPr="00BA76E4">
              <w:rPr>
                <w:rFonts w:ascii="Times New Roman" w:hAnsi="Times New Roman" w:cs="Times New Roman"/>
                <w:lang w:val="en-US"/>
              </w:rPr>
              <w:t xml:space="preserve"> undertakes active monitoring</w:t>
            </w:r>
          </w:p>
        </w:tc>
        <w:tc>
          <w:tcPr>
            <w:tcW w:w="1417" w:type="dxa"/>
            <w:vMerge/>
          </w:tcPr>
          <w:p w14:paraId="70882DF8" w14:textId="6CAF5D46" w:rsidR="00D46656" w:rsidRPr="00BA76E4" w:rsidRDefault="00D46656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52" w:type="dxa"/>
          </w:tcPr>
          <w:p w14:paraId="33587BBB" w14:textId="39AAA8A5" w:rsidR="00D46656" w:rsidRPr="00BA76E4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BA76E4">
              <w:rPr>
                <w:rFonts w:ascii="Times New Roman" w:hAnsi="Times New Roman" w:cs="Times New Roman"/>
                <w:lang w:val="en-US"/>
              </w:rPr>
              <w:t>Responsible body</w:t>
            </w:r>
          </w:p>
        </w:tc>
      </w:tr>
      <w:tr w:rsidR="00D46656" w:rsidRPr="006E1B93" w14:paraId="5084BAC5" w14:textId="77777777" w:rsidTr="00C8405D">
        <w:tc>
          <w:tcPr>
            <w:tcW w:w="3510" w:type="dxa"/>
          </w:tcPr>
          <w:p w14:paraId="6F34B854" w14:textId="631493FC" w:rsidR="00D46656" w:rsidRPr="00BA76E4" w:rsidRDefault="00D46656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A76E4">
              <w:rPr>
                <w:rFonts w:ascii="Times New Roman" w:eastAsia="Times New Roman" w:hAnsi="Times New Roman" w:cs="Times New Roman"/>
                <w:i/>
                <w:lang w:val="en-US"/>
              </w:rPr>
              <w:t>To facilitate such scrutiny, the Director may request relevant material from pharmaceutical companies</w:t>
            </w:r>
          </w:p>
        </w:tc>
        <w:tc>
          <w:tcPr>
            <w:tcW w:w="2127" w:type="dxa"/>
          </w:tcPr>
          <w:p w14:paraId="54905B63" w14:textId="277E26C8" w:rsidR="00D46656" w:rsidRPr="009762D2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9762D2">
              <w:rPr>
                <w:rFonts w:ascii="Times New Roman" w:hAnsi="Times New Roman" w:cs="Times New Roman"/>
                <w:lang w:val="en-US"/>
              </w:rPr>
              <w:t>Companies submit material upon request</w:t>
            </w:r>
          </w:p>
        </w:tc>
        <w:tc>
          <w:tcPr>
            <w:tcW w:w="1417" w:type="dxa"/>
            <w:vMerge/>
          </w:tcPr>
          <w:p w14:paraId="410EBBF5" w14:textId="73B91BB0" w:rsidR="00D46656" w:rsidRPr="00BA76E4" w:rsidRDefault="00D46656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52" w:type="dxa"/>
          </w:tcPr>
          <w:p w14:paraId="6D4D7B6B" w14:textId="121345AE" w:rsidR="00D46656" w:rsidRPr="00BA76E4" w:rsidRDefault="00D46656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BA76E4">
              <w:rPr>
                <w:rFonts w:ascii="Times New Roman" w:hAnsi="Times New Roman" w:cs="Times New Roman"/>
                <w:lang w:val="en-US"/>
              </w:rPr>
              <w:t xml:space="preserve">Material collection </w:t>
            </w:r>
          </w:p>
        </w:tc>
      </w:tr>
      <w:tr w:rsidR="00BA76E4" w:rsidRPr="006E1B93" w14:paraId="04549299" w14:textId="77777777" w:rsidTr="00C8405D">
        <w:trPr>
          <w:trHeight w:val="579"/>
        </w:trPr>
        <w:tc>
          <w:tcPr>
            <w:tcW w:w="3510" w:type="dxa"/>
          </w:tcPr>
          <w:p w14:paraId="0EFDFDFF" w14:textId="4596E780" w:rsidR="00BA76E4" w:rsidRPr="00BA76E4" w:rsidRDefault="00BA76E4" w:rsidP="00C8405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1B93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Competing pharmaceutical companies that submit a report to the </w:t>
            </w:r>
            <w:proofErr w:type="spellStart"/>
            <w:r w:rsidRPr="006E1B93">
              <w:rPr>
                <w:rFonts w:ascii="Times New Roman" w:eastAsia="Times New Roman" w:hAnsi="Times New Roman" w:cs="Times New Roman"/>
                <w:lang w:val="en-US"/>
              </w:rPr>
              <w:t>IGM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E1B93">
              <w:rPr>
                <w:rFonts w:ascii="Times New Roman" w:eastAsia="Times New Roman" w:hAnsi="Times New Roman" w:cs="Times New Roman"/>
                <w:lang w:val="en-US"/>
              </w:rPr>
              <w:t>BL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 must enclose evidence that the company or companies against whom the representation is made has been encouraged to terminate or change the </w:t>
            </w:r>
            <w:proofErr w:type="spellStart"/>
            <w:r w:rsidRPr="006E1B93">
              <w:rPr>
                <w:rFonts w:ascii="Times New Roman" w:eastAsia="Times New Roman" w:hAnsi="Times New Roman" w:cs="Times New Roman"/>
                <w:lang w:val="en-US"/>
              </w:rPr>
              <w:t>criticised</w:t>
            </w:r>
            <w:proofErr w:type="spellEnd"/>
            <w:r w:rsidRPr="006E1B93">
              <w:rPr>
                <w:rFonts w:ascii="Times New Roman" w:eastAsia="Times New Roman" w:hAnsi="Times New Roman" w:cs="Times New Roman"/>
                <w:lang w:val="en-US"/>
              </w:rPr>
              <w:t xml:space="preserve"> measure but has/have failed to observe such request within two weeks of receiving it.</w:t>
            </w:r>
          </w:p>
        </w:tc>
        <w:tc>
          <w:tcPr>
            <w:tcW w:w="2127" w:type="dxa"/>
          </w:tcPr>
          <w:p w14:paraId="4105DEBA" w14:textId="66A804ED" w:rsidR="00BA76E4" w:rsidRPr="00BA76E4" w:rsidRDefault="00BA76E4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BA76E4">
              <w:rPr>
                <w:rFonts w:ascii="Times New Roman" w:hAnsi="Times New Roman" w:cs="Times New Roman"/>
                <w:lang w:val="en-US"/>
              </w:rPr>
              <w:t>Companies must first attempt to settle disagreements through inter-company dialogue</w:t>
            </w:r>
          </w:p>
        </w:tc>
        <w:tc>
          <w:tcPr>
            <w:tcW w:w="1417" w:type="dxa"/>
            <w:vMerge w:val="restart"/>
          </w:tcPr>
          <w:p w14:paraId="193E5D2A" w14:textId="5FDD5329" w:rsidR="00BA76E4" w:rsidRPr="006E1B93" w:rsidRDefault="00BA76E4" w:rsidP="00C840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Inter-company dialogue </w:t>
            </w:r>
          </w:p>
        </w:tc>
        <w:tc>
          <w:tcPr>
            <w:tcW w:w="2152" w:type="dxa"/>
          </w:tcPr>
          <w:p w14:paraId="0888D4B3" w14:textId="7F989EE9" w:rsidR="00BA76E4" w:rsidRPr="006E1B93" w:rsidRDefault="00BA76E4" w:rsidP="00C840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</w:t>
            </w:r>
          </w:p>
        </w:tc>
      </w:tr>
      <w:tr w:rsidR="00BA76E4" w:rsidRPr="006E1B93" w14:paraId="1A25D82F" w14:textId="77777777" w:rsidTr="00C8405D">
        <w:tc>
          <w:tcPr>
            <w:tcW w:w="3510" w:type="dxa"/>
          </w:tcPr>
          <w:p w14:paraId="2FCB8ADE" w14:textId="50D1DBBA" w:rsidR="00BA76E4" w:rsidRPr="005D34D5" w:rsidRDefault="00BA76E4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  <w:bookmarkStart w:id="0" w:name="_GoBack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complaint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from a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pharmaceutical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company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will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be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accepted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only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if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Director is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satisfied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company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concerned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has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previously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informed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company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alleged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breached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Code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it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proposed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make a formal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complaint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offered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inter-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company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dialogue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at a senior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level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in an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attempt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resolve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matter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but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that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this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offer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was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refused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or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dialogue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proved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unsuccessful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. A formal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statement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detailing</w:t>
            </w:r>
            <w:proofErr w:type="spellEnd"/>
            <w:r w:rsidRPr="005D34D5">
              <w:rPr>
                <w:rFonts w:ascii="Times New Roman" w:eastAsia="Times New Roman" w:hAnsi="Times New Roman" w:cs="Times New Roman"/>
                <w:i/>
              </w:rPr>
              <w:t xml:space="preserve"> the actions taken must be </w:t>
            </w:r>
            <w:proofErr w:type="spellStart"/>
            <w:r w:rsidRPr="005D34D5">
              <w:rPr>
                <w:rFonts w:ascii="Times New Roman" w:eastAsia="Times New Roman" w:hAnsi="Times New Roman" w:cs="Times New Roman"/>
                <w:i/>
              </w:rPr>
              <w:t>provided</w:t>
            </w:r>
            <w:bookmarkEnd w:id="0"/>
            <w:proofErr w:type="spellEnd"/>
          </w:p>
        </w:tc>
        <w:tc>
          <w:tcPr>
            <w:tcW w:w="2127" w:type="dxa"/>
          </w:tcPr>
          <w:p w14:paraId="2E9B23B7" w14:textId="7A55F0D7" w:rsidR="00BA76E4" w:rsidRPr="00BA76E4" w:rsidRDefault="00BA76E4" w:rsidP="00C8405D">
            <w:pPr>
              <w:rPr>
                <w:rFonts w:ascii="Times New Roman" w:hAnsi="Times New Roman" w:cs="Times New Roman"/>
                <w:lang w:val="en-US"/>
              </w:rPr>
            </w:pPr>
            <w:r w:rsidRPr="00BA76E4">
              <w:rPr>
                <w:rFonts w:ascii="Times New Roman" w:hAnsi="Times New Roman" w:cs="Times New Roman"/>
                <w:lang w:val="en-US"/>
              </w:rPr>
              <w:t>Compani</w:t>
            </w:r>
            <w:r w:rsidR="00C8405D">
              <w:rPr>
                <w:rFonts w:ascii="Times New Roman" w:hAnsi="Times New Roman" w:cs="Times New Roman"/>
                <w:lang w:val="en-US"/>
              </w:rPr>
              <w:t xml:space="preserve">es must first attempt to settle </w:t>
            </w:r>
            <w:r w:rsidRPr="00BA76E4">
              <w:rPr>
                <w:rFonts w:ascii="Times New Roman" w:hAnsi="Times New Roman" w:cs="Times New Roman"/>
                <w:lang w:val="en-US"/>
              </w:rPr>
              <w:t>disagreements through inter-company dialogue</w:t>
            </w:r>
          </w:p>
        </w:tc>
        <w:tc>
          <w:tcPr>
            <w:tcW w:w="1417" w:type="dxa"/>
            <w:vMerge/>
          </w:tcPr>
          <w:p w14:paraId="10B5FEBF" w14:textId="77777777" w:rsidR="00BA76E4" w:rsidRPr="00BA76E4" w:rsidRDefault="00BA76E4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52" w:type="dxa"/>
          </w:tcPr>
          <w:p w14:paraId="30FAA201" w14:textId="1D153B0C" w:rsidR="00BA76E4" w:rsidRPr="00BA76E4" w:rsidRDefault="00BA76E4" w:rsidP="00C8405D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</w:t>
            </w:r>
          </w:p>
        </w:tc>
      </w:tr>
    </w:tbl>
    <w:p w14:paraId="0C359BBD" w14:textId="7D1C455E" w:rsidR="00977855" w:rsidRDefault="00BA76E4" w:rsidP="00B507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76E4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Normal fonts: Sweden; Italics font: UK. </w:t>
      </w:r>
    </w:p>
    <w:p w14:paraId="13096DC3" w14:textId="77777777" w:rsidR="00AE7E53" w:rsidRDefault="00AE7E53" w:rsidP="00B507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F015801" w14:textId="019A0BB0" w:rsidR="00AE7E53" w:rsidRPr="00AE7E53" w:rsidRDefault="00AE7E53" w:rsidP="00B5079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AE7E53">
        <w:rPr>
          <w:rFonts w:ascii="Times New Roman" w:hAnsi="Times New Roman" w:cs="Times New Roman"/>
          <w:b/>
          <w:lang w:val="en-US"/>
        </w:rPr>
        <w:t>References</w:t>
      </w:r>
    </w:p>
    <w:p w14:paraId="427A26AE" w14:textId="7A4548A8" w:rsidR="00AE7E53" w:rsidRPr="00A84A33" w:rsidRDefault="00AE7E53" w:rsidP="00AE7E53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</w:t>
      </w:r>
      <w:r w:rsidRPr="00A84A33">
        <w:rPr>
          <w:rFonts w:ascii="Times New Roman" w:hAnsi="Times New Roman" w:cs="Times New Roman"/>
          <w:noProof/>
          <w:sz w:val="24"/>
        </w:rPr>
        <w:t>. Graneheim UH, Lundman B (2004) Qualitative content analysis in nursing research: concepts, procedures and measures to achieve trustworthiness. Nurse Educ Today 24:105-112.</w:t>
      </w:r>
    </w:p>
    <w:p w14:paraId="6BC48457" w14:textId="77777777" w:rsidR="00AE7E53" w:rsidRPr="00BA76E4" w:rsidRDefault="00AE7E53" w:rsidP="00B507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AE7E53" w:rsidRPr="00BA76E4" w:rsidSect="00A5305B">
      <w:pgSz w:w="11900" w:h="16840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3"/>
    <w:rsid w:val="001C1973"/>
    <w:rsid w:val="00272AA0"/>
    <w:rsid w:val="002E046F"/>
    <w:rsid w:val="00324346"/>
    <w:rsid w:val="00461701"/>
    <w:rsid w:val="00464031"/>
    <w:rsid w:val="005C0B3E"/>
    <w:rsid w:val="005D34D5"/>
    <w:rsid w:val="006910E3"/>
    <w:rsid w:val="006E1B93"/>
    <w:rsid w:val="00793FCA"/>
    <w:rsid w:val="007C6051"/>
    <w:rsid w:val="008A1370"/>
    <w:rsid w:val="008A6966"/>
    <w:rsid w:val="008F701F"/>
    <w:rsid w:val="0090768B"/>
    <w:rsid w:val="009762D2"/>
    <w:rsid w:val="00977855"/>
    <w:rsid w:val="00987D7A"/>
    <w:rsid w:val="009D20F3"/>
    <w:rsid w:val="00A01C53"/>
    <w:rsid w:val="00A01E46"/>
    <w:rsid w:val="00A24E1F"/>
    <w:rsid w:val="00A5305B"/>
    <w:rsid w:val="00AE7E53"/>
    <w:rsid w:val="00B043F1"/>
    <w:rsid w:val="00B50799"/>
    <w:rsid w:val="00B6686D"/>
    <w:rsid w:val="00B86E1D"/>
    <w:rsid w:val="00BA76E4"/>
    <w:rsid w:val="00BD459E"/>
    <w:rsid w:val="00C12DF9"/>
    <w:rsid w:val="00C43A6B"/>
    <w:rsid w:val="00C8405D"/>
    <w:rsid w:val="00D46656"/>
    <w:rsid w:val="00DC4916"/>
    <w:rsid w:val="00EB1095"/>
    <w:rsid w:val="00F0203E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27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6686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686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semiHidden/>
    <w:unhideWhenUsed/>
    <w:rsid w:val="00FB1CD3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324346"/>
    <w:rPr>
      <w:b/>
      <w:bCs/>
    </w:rPr>
  </w:style>
  <w:style w:type="table" w:styleId="Tabellrutnt">
    <w:name w:val="Table Grid"/>
    <w:basedOn w:val="Normaltabell"/>
    <w:uiPriority w:val="59"/>
    <w:rsid w:val="008F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AE7E53"/>
    <w:rPr>
      <w:rFonts w:ascii="Cambria" w:eastAsiaTheme="minorHAnsi" w:hAnsi="Cambria"/>
      <w:sz w:val="20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109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1095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109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109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10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6686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6686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semiHidden/>
    <w:unhideWhenUsed/>
    <w:rsid w:val="00FB1CD3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324346"/>
    <w:rPr>
      <w:b/>
      <w:bCs/>
    </w:rPr>
  </w:style>
  <w:style w:type="table" w:styleId="Tabellrutnt">
    <w:name w:val="Table Grid"/>
    <w:basedOn w:val="Normaltabell"/>
    <w:uiPriority w:val="59"/>
    <w:rsid w:val="008F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AE7E53"/>
    <w:rPr>
      <w:rFonts w:ascii="Cambria" w:eastAsiaTheme="minorHAnsi" w:hAnsi="Cambria"/>
      <w:sz w:val="20"/>
      <w:lang w:val="en-US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109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1095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109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109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1CE40-4BD3-354D-BE16-F5BFFD62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3372</Characters>
  <Application>Microsoft Macintosh Word</Application>
  <DocSecurity>0</DocSecurity>
  <Lines>28</Lines>
  <Paragraphs>7</Paragraphs>
  <ScaleCrop>false</ScaleCrop>
  <Company>Lunds Universitet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Mulinari</dc:creator>
  <cp:keywords/>
  <dc:description/>
  <cp:lastModifiedBy>Shai Mulinari</cp:lastModifiedBy>
  <cp:revision>7</cp:revision>
  <cp:lastPrinted>2014-09-22T15:07:00Z</cp:lastPrinted>
  <dcterms:created xsi:type="dcterms:W3CDTF">2014-09-23T18:35:00Z</dcterms:created>
  <dcterms:modified xsi:type="dcterms:W3CDTF">2014-12-04T12:43:00Z</dcterms:modified>
</cp:coreProperties>
</file>