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65879720"/>
      <w:bookmarkStart w:id="1" w:name="_Toc370135302"/>
      <w:bookmarkStart w:id="2" w:name="_Toc379828924"/>
      <w:bookmarkStart w:id="3" w:name="_Toc338070817"/>
      <w:proofErr w:type="gramStart"/>
      <w:r w:rsidRPr="00152AFA">
        <w:rPr>
          <w:lang w:val="en-US"/>
        </w:rPr>
        <w:t xml:space="preserve">Supplementary figure </w:t>
      </w:r>
      <w:r w:rsidR="00514E07" w:rsidRPr="00152AFA">
        <w:rPr>
          <w:lang w:val="en-US"/>
        </w:rPr>
        <w:t>4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Model of vaccine efficacy against all episodes of clinical malaria (primary case definition) over time (per-protocol population)</w:t>
      </w:r>
      <w:bookmarkEnd w:id="0"/>
      <w:bookmarkEnd w:id="1"/>
      <w:bookmarkEnd w:id="2"/>
    </w:p>
    <w:tbl>
      <w:tblPr>
        <w:tblW w:w="8868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br w:type="page"/>
            </w: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>A.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Children 5-17 months of age at enrollment</w:t>
            </w: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Infants 6-12 weeks of age at enrollment</w:t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Overall - model=group*(stop**(0.5))</w:t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Overall - model=group*(stop**(0.5))</w:t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12D3EB30" wp14:editId="66F23EE4">
                  <wp:extent cx="2743200" cy="1819275"/>
                  <wp:effectExtent l="0" t="0" r="0" b="9525"/>
                  <wp:docPr id="4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7663A257" wp14:editId="6757EAED">
                  <wp:extent cx="2743200" cy="1819275"/>
                  <wp:effectExtent l="0" t="0" r="0" b="9525"/>
                  <wp:docPr id="4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noProof/>
                <w:sz w:val="20"/>
                <w:szCs w:val="18"/>
                <w:lang w:val="en-US" w:eastAsia="en-GB"/>
              </w:rPr>
            </w:pP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noProof/>
                <w:sz w:val="20"/>
                <w:szCs w:val="18"/>
                <w:lang w:val="en-US" w:eastAsia="en-GB"/>
              </w:rPr>
            </w:pP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Kilifi - model=No time-varying covariates</w:t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Kilifi - model=No time-varying covariates</w:t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32DC6196" wp14:editId="4B988904">
                  <wp:extent cx="2743200" cy="1819275"/>
                  <wp:effectExtent l="0" t="0" r="0" b="9525"/>
                  <wp:docPr id="4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35CD29E8" wp14:editId="1ACD7FC0">
                  <wp:extent cx="2743200" cy="1838325"/>
                  <wp:effectExtent l="0" t="0" r="0" b="9525"/>
                  <wp:docPr id="4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Korogwe</w:t>
            </w:r>
            <w:proofErr w:type="spellEnd"/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 xml:space="preserve"> - model=No time-varying covariates</w:t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szCs w:val="18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>Korogwe</w:t>
            </w:r>
            <w:proofErr w:type="spellEnd"/>
            <w:r w:rsidRPr="00152AFA">
              <w:rPr>
                <w:rFonts w:cs="Arial Narrow"/>
                <w:b/>
                <w:sz w:val="20"/>
                <w:szCs w:val="18"/>
                <w:lang w:val="en-US"/>
              </w:rPr>
              <w:t xml:space="preserve"> - model=No time-varying covariates</w:t>
            </w:r>
          </w:p>
        </w:tc>
      </w:tr>
      <w:tr w:rsidR="00E53A2C" w:rsidRPr="00152AFA" w:rsidTr="00577B37">
        <w:trPr>
          <w:jc w:val="center"/>
        </w:trPr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58AAB3C1" wp14:editId="27BEC623">
                  <wp:extent cx="2743200" cy="1819275"/>
                  <wp:effectExtent l="0" t="0" r="0" b="9525"/>
                  <wp:docPr id="48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 Narrow"/>
                <w:sz w:val="20"/>
                <w:szCs w:val="18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5CC3EA14" wp14:editId="62F7F866">
                  <wp:extent cx="2743200" cy="1819275"/>
                  <wp:effectExtent l="0" t="0" r="0" b="9525"/>
                  <wp:docPr id="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A2C" w:rsidRPr="00152AFA" w:rsidRDefault="00E53A2C" w:rsidP="00E53A2C">
      <w:pPr>
        <w:spacing w:before="120" w:after="0"/>
        <w:rPr>
          <w:i/>
          <w:lang w:val="en-US"/>
        </w:rPr>
      </w:pPr>
      <w:r w:rsidRPr="00152AFA">
        <w:rPr>
          <w:i/>
          <w:lang w:val="en-US"/>
        </w:rPr>
        <w:t>Figure continues on next page</w:t>
      </w:r>
    </w:p>
    <w:tbl>
      <w:tblPr>
        <w:tblW w:w="9010" w:type="dxa"/>
        <w:jc w:val="center"/>
        <w:tblInd w:w="-8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57"/>
        <w:gridCol w:w="4291"/>
        <w:gridCol w:w="86"/>
        <w:gridCol w:w="57"/>
        <w:gridCol w:w="4290"/>
        <w:gridCol w:w="90"/>
        <w:gridCol w:w="54"/>
      </w:tblGrid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A.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Children 5-17 months of age at enrollment</w:t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br w:type="page"/>
            </w: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Infants 6-12 weeks of age at enrollment</w:t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cs="Arial Narrow"/>
                <w:b/>
                <w:sz w:val="20"/>
                <w:lang w:val="en-US"/>
              </w:rPr>
            </w:pP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cs="Arial Narrow"/>
                <w:b/>
                <w:sz w:val="20"/>
                <w:lang w:val="en-US"/>
              </w:rPr>
            </w:pPr>
            <w:r w:rsidRPr="00152AFA">
              <w:rPr>
                <w:rFonts w:cs="Arial Narrow"/>
                <w:b/>
                <w:sz w:val="20"/>
                <w:lang w:val="en-US"/>
              </w:rPr>
              <w:t>Manhiça - model=No time-varying covariates</w:t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5E0159EA" wp14:editId="74E33F52">
                  <wp:extent cx="2743200" cy="1819275"/>
                  <wp:effectExtent l="0" t="0" r="0" b="9525"/>
                  <wp:docPr id="5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lang w:val="en-US"/>
              </w:rPr>
              <w:t>Lambarene</w:t>
            </w:r>
            <w:proofErr w:type="spellEnd"/>
            <w:r w:rsidRPr="00152AFA">
              <w:rPr>
                <w:rFonts w:cs="Arial Narrow"/>
                <w:b/>
                <w:sz w:val="20"/>
                <w:lang w:val="en-US"/>
              </w:rPr>
              <w:t xml:space="preserve"> - model=group*(stop**(-1))</w:t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lang w:val="en-US"/>
              </w:rPr>
              <w:t>Lambarene</w:t>
            </w:r>
            <w:proofErr w:type="spellEnd"/>
            <w:r w:rsidRPr="00152AFA">
              <w:rPr>
                <w:rFonts w:cs="Arial Narrow"/>
                <w:b/>
                <w:sz w:val="20"/>
                <w:lang w:val="en-US"/>
              </w:rPr>
              <w:t xml:space="preserve"> - model=group*(stop**(-2))</w:t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4D011A69" wp14:editId="3E5EFE18">
                  <wp:extent cx="2743200" cy="1819275"/>
                  <wp:effectExtent l="0" t="0" r="0" b="9525"/>
                  <wp:docPr id="5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5D46B14A" wp14:editId="7C0C442A">
                  <wp:extent cx="2743200" cy="1819275"/>
                  <wp:effectExtent l="0" t="0" r="0" b="9525"/>
                  <wp:docPr id="5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lang w:val="en-US"/>
              </w:rPr>
              <w:t>Bagamoyo</w:t>
            </w:r>
            <w:proofErr w:type="spellEnd"/>
            <w:r w:rsidRPr="00152AFA">
              <w:rPr>
                <w:rFonts w:cs="Arial Narrow"/>
                <w:b/>
                <w:sz w:val="20"/>
                <w:lang w:val="en-US"/>
              </w:rPr>
              <w:t xml:space="preserve"> - model=group*(stop)</w:t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proofErr w:type="spellStart"/>
            <w:r w:rsidRPr="00152AFA">
              <w:rPr>
                <w:rFonts w:cs="Arial Narrow"/>
                <w:b/>
                <w:sz w:val="20"/>
                <w:lang w:val="en-US"/>
              </w:rPr>
              <w:t>Bagamoyo</w:t>
            </w:r>
            <w:proofErr w:type="spellEnd"/>
            <w:r w:rsidRPr="00152AFA">
              <w:rPr>
                <w:rFonts w:cs="Arial Narrow"/>
                <w:b/>
                <w:sz w:val="20"/>
                <w:lang w:val="en-US"/>
              </w:rPr>
              <w:t xml:space="preserve"> - model=No time-varying covariates</w:t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7D9FE8C1" wp14:editId="7AB12AB9">
                  <wp:extent cx="2743200" cy="1819275"/>
                  <wp:effectExtent l="0" t="0" r="0" b="9525"/>
                  <wp:docPr id="5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79C0E9B9" wp14:editId="78D35B69">
                  <wp:extent cx="2743200" cy="1838325"/>
                  <wp:effectExtent l="0" t="0" r="0" b="9525"/>
                  <wp:docPr id="5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r w:rsidRPr="00152AFA">
              <w:rPr>
                <w:rFonts w:cs="Arial Narrow"/>
                <w:b/>
                <w:sz w:val="20"/>
                <w:lang w:val="en-US"/>
              </w:rPr>
              <w:t>Lilongwe - model=No time-varying covariates</w:t>
            </w:r>
          </w:p>
        </w:tc>
        <w:tc>
          <w:tcPr>
            <w:tcW w:w="4433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sz w:val="20"/>
                <w:lang w:val="en-US"/>
              </w:rPr>
            </w:pPr>
            <w:r w:rsidRPr="00152AFA">
              <w:rPr>
                <w:rFonts w:cs="Arial Narrow"/>
                <w:b/>
                <w:sz w:val="20"/>
                <w:lang w:val="en-US"/>
              </w:rPr>
              <w:t>Lilongwe - model=group*(stop**(0.5))</w:t>
            </w:r>
          </w:p>
        </w:tc>
      </w:tr>
      <w:tr w:rsidR="00E53A2C" w:rsidRPr="00152AFA" w:rsidTr="00577B37">
        <w:trPr>
          <w:gridAfter w:val="2"/>
          <w:wAfter w:w="144" w:type="dxa"/>
          <w:jc w:val="center"/>
        </w:trPr>
        <w:tc>
          <w:tcPr>
            <w:tcW w:w="4433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bookmarkStart w:id="4" w:name="_GoBack"/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5F66B910" wp14:editId="02D686A3">
                  <wp:extent cx="2743200" cy="1819275"/>
                  <wp:effectExtent l="0" t="0" r="0" b="9525"/>
                  <wp:docPr id="55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gridSpan w:val="3"/>
            <w:tcBorders>
              <w:bottom w:val="nil"/>
            </w:tcBorders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sz w:val="20"/>
                <w:lang w:val="en-US"/>
              </w:rPr>
            </w:pPr>
            <w:r w:rsidRPr="00152AFA">
              <w:rPr>
                <w:rFonts w:cs="Arial Narrow"/>
                <w:noProof/>
                <w:sz w:val="20"/>
                <w:lang w:val="en-GB" w:eastAsia="en-GB"/>
              </w:rPr>
              <w:drawing>
                <wp:inline distT="0" distB="0" distL="0" distR="0" wp14:anchorId="7AF7DD4C" wp14:editId="11F1B4C2">
                  <wp:extent cx="2743200" cy="1819275"/>
                  <wp:effectExtent l="0" t="0" r="0" b="9525"/>
                  <wp:docPr id="5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  <w:tr w:rsidR="00E53A2C" w:rsidRPr="00A85A06" w:rsidTr="00577B37">
        <w:trPr>
          <w:gridAfter w:val="2"/>
          <w:wAfter w:w="144" w:type="dxa"/>
          <w:jc w:val="center"/>
        </w:trPr>
        <w:tc>
          <w:tcPr>
            <w:tcW w:w="8866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4F78ED" w:rsidRDefault="00E53A2C" w:rsidP="00577B37">
            <w:pPr>
              <w:pStyle w:val="tabletextNS"/>
              <w:rPr>
                <w:rFonts w:ascii="Times New Roman" w:hAnsi="Times New Roman"/>
                <w:noProof/>
                <w:sz w:val="20"/>
                <w:lang w:val="fr-BE" w:eastAsia="en-GB"/>
              </w:rPr>
            </w:pPr>
            <w:r w:rsidRPr="004F78ED">
              <w:rPr>
                <w:rFonts w:ascii="Times New Roman" w:hAnsi="Times New Roman"/>
                <w:i/>
                <w:lang w:val="fr-BE"/>
              </w:rPr>
              <w:t xml:space="preserve">Figure continues on </w:t>
            </w:r>
            <w:proofErr w:type="spellStart"/>
            <w:r w:rsidRPr="004F78ED">
              <w:rPr>
                <w:rFonts w:ascii="Times New Roman" w:hAnsi="Times New Roman"/>
                <w:i/>
                <w:lang w:val="fr-BE"/>
              </w:rPr>
              <w:t>next</w:t>
            </w:r>
            <w:proofErr w:type="spellEnd"/>
            <w:r w:rsidRPr="004F78ED">
              <w:rPr>
                <w:rFonts w:ascii="Times New Roman" w:hAnsi="Times New Roman"/>
                <w:i/>
                <w:lang w:val="fr-BE"/>
              </w:rPr>
              <w:t xml:space="preserve"> page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"/>
                <w:b/>
                <w:sz w:val="22"/>
                <w:szCs w:val="22"/>
                <w:lang w:val="en-US"/>
              </w:rPr>
              <w:lastRenderedPageBreak/>
              <w:t>A.</w:t>
            </w:r>
            <w:r w:rsidRPr="00152AFA">
              <w:rPr>
                <w:rFonts w:eastAsia="Calibri" w:cs="Arial"/>
                <w:sz w:val="22"/>
                <w:szCs w:val="22"/>
                <w:lang w:val="en-US"/>
              </w:rPr>
              <w:t xml:space="preserve"> Children 5-17 months of age at enrollment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sz w:val="20"/>
                <w:szCs w:val="22"/>
                <w:lang w:val="en-US"/>
              </w:rPr>
              <w:br w:type="page"/>
            </w:r>
            <w:r w:rsidRPr="00152AFA">
              <w:rPr>
                <w:rFonts w:eastAsia="Calibri"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eastAsia="Calibri" w:cs="Arial"/>
                <w:sz w:val="22"/>
                <w:szCs w:val="22"/>
                <w:lang w:val="en-US"/>
              </w:rPr>
              <w:t xml:space="preserve"> Infants 6-12 weeks of age at enrollment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Agogo - model=group*(stop**(0.5))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Agogo - model=group*(stop**(0.5))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00B04288" wp14:editId="04F51CE6">
                  <wp:extent cx="2743200" cy="1819275"/>
                  <wp:effectExtent l="0" t="0" r="0" b="9525"/>
                  <wp:docPr id="5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4A624D97" wp14:editId="38477B60">
                  <wp:extent cx="2743200" cy="1828800"/>
                  <wp:effectExtent l="0" t="0" r="0" b="0"/>
                  <wp:docPr id="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proofErr w:type="spellStart"/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Kombewa</w:t>
            </w:r>
            <w:proofErr w:type="spellEnd"/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 xml:space="preserve"> - model=group*(stop**(0.5))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proofErr w:type="spellStart"/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Kombewa</w:t>
            </w:r>
            <w:proofErr w:type="spellEnd"/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 xml:space="preserve"> - model=group*(stop)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2954E81F" wp14:editId="3959A35C">
                  <wp:extent cx="2743200" cy="1819275"/>
                  <wp:effectExtent l="0" t="0" r="0" b="9525"/>
                  <wp:docPr id="5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3EDCDFCE" wp14:editId="3A82C471">
                  <wp:extent cx="2743200" cy="1819275"/>
                  <wp:effectExtent l="0" t="0" r="0" b="9525"/>
                  <wp:docPr id="6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Kintampo - model=group*(log(stop))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Kintampo - model=No time-varying covariates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45B6FE63" wp14:editId="184A05EB">
                  <wp:extent cx="2743200" cy="1819275"/>
                  <wp:effectExtent l="0" t="0" r="0" b="9525"/>
                  <wp:docPr id="6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6AD1B5B3" wp14:editId="0A34901D">
                  <wp:extent cx="2743200" cy="1819275"/>
                  <wp:effectExtent l="0" t="0" r="0" b="952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Nanoro - model=group*(log(stop))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Nanoro - model=group*(stop**(0.5))</w:t>
            </w:r>
          </w:p>
        </w:tc>
      </w:tr>
      <w:tr w:rsidR="00E53A2C" w:rsidRPr="00152AFA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1D895439" wp14:editId="3870BE36">
                  <wp:extent cx="2743200" cy="1819275"/>
                  <wp:effectExtent l="0" t="0" r="0" b="9525"/>
                  <wp:docPr id="6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3"/>
            <w:tcBorders>
              <w:bottom w:val="nil"/>
            </w:tcBorders>
            <w:shd w:val="clear" w:color="auto" w:fill="auto"/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583DFD99" wp14:editId="5D36CA92">
                  <wp:extent cx="2743200" cy="1819275"/>
                  <wp:effectExtent l="0" t="0" r="0" b="9525"/>
                  <wp:docPr id="6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A85A06" w:rsidTr="00577B37">
        <w:tblPrEx>
          <w:jc w:val="left"/>
        </w:tblPrEx>
        <w:trPr>
          <w:gridBefore w:val="2"/>
          <w:wBefore w:w="142" w:type="dxa"/>
        </w:trPr>
        <w:tc>
          <w:tcPr>
            <w:tcW w:w="443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4F78ED" w:rsidRDefault="00E53A2C" w:rsidP="00577B37">
            <w:pPr>
              <w:pStyle w:val="tabletextNS"/>
              <w:rPr>
                <w:rFonts w:eastAsia="Calibri" w:cs="Arial Narrow"/>
                <w:noProof/>
                <w:sz w:val="20"/>
                <w:szCs w:val="22"/>
                <w:lang w:val="fr-BE" w:eastAsia="en-GB"/>
              </w:rPr>
            </w:pPr>
            <w:r w:rsidRPr="004F78ED">
              <w:rPr>
                <w:rFonts w:ascii="Times New Roman" w:eastAsia="Calibri" w:hAnsi="Times New Roman"/>
                <w:i/>
                <w:sz w:val="22"/>
                <w:szCs w:val="22"/>
                <w:lang w:val="fr-BE"/>
              </w:rPr>
              <w:t xml:space="preserve">Figure continues on </w:t>
            </w:r>
            <w:proofErr w:type="spellStart"/>
            <w:r w:rsidRPr="004F78ED">
              <w:rPr>
                <w:rFonts w:ascii="Times New Roman" w:eastAsia="Calibri" w:hAnsi="Times New Roman"/>
                <w:i/>
                <w:sz w:val="22"/>
                <w:szCs w:val="22"/>
                <w:lang w:val="fr-BE"/>
              </w:rPr>
              <w:t>next</w:t>
            </w:r>
            <w:proofErr w:type="spellEnd"/>
            <w:r w:rsidRPr="004F78ED">
              <w:rPr>
                <w:rFonts w:ascii="Times New Roman" w:eastAsia="Calibri" w:hAnsi="Times New Roman"/>
                <w:i/>
                <w:sz w:val="22"/>
                <w:szCs w:val="22"/>
                <w:lang w:val="fr-BE"/>
              </w:rPr>
              <w:t xml:space="preserve"> page</w:t>
            </w:r>
          </w:p>
        </w:tc>
        <w:tc>
          <w:tcPr>
            <w:tcW w:w="44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53A2C" w:rsidRPr="004F78ED" w:rsidRDefault="00E53A2C" w:rsidP="00577B37">
            <w:pPr>
              <w:pStyle w:val="tabletextNS"/>
              <w:rPr>
                <w:rFonts w:eastAsia="Calibri" w:cs="Arial Narrow"/>
                <w:noProof/>
                <w:sz w:val="20"/>
                <w:szCs w:val="22"/>
                <w:lang w:val="fr-BE" w:eastAsia="en-GB"/>
              </w:rPr>
            </w:pPr>
          </w:p>
        </w:tc>
      </w:tr>
      <w:tr w:rsidR="00E53A2C" w:rsidRPr="00152AFA" w:rsidTr="00577B37">
        <w:tblPrEx>
          <w:jc w:val="left"/>
        </w:tblPrEx>
        <w:trPr>
          <w:gridBefore w:val="1"/>
          <w:gridAfter w:val="1"/>
          <w:wBefore w:w="85" w:type="dxa"/>
          <w:wAfter w:w="54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"/>
                <w:b/>
                <w:sz w:val="22"/>
                <w:szCs w:val="22"/>
                <w:lang w:val="en-US"/>
              </w:rPr>
              <w:lastRenderedPageBreak/>
              <w:t>A.</w:t>
            </w:r>
            <w:r w:rsidRPr="00152AFA">
              <w:rPr>
                <w:rFonts w:eastAsia="Calibri" w:cs="Arial"/>
                <w:sz w:val="22"/>
                <w:szCs w:val="22"/>
                <w:lang w:val="en-US"/>
              </w:rPr>
              <w:t xml:space="preserve"> Children 5-17 months of age at enrollment</w:t>
            </w:r>
          </w:p>
        </w:tc>
        <w:tc>
          <w:tcPr>
            <w:tcW w:w="4437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keepNext/>
              <w:jc w:val="center"/>
              <w:rPr>
                <w:rFonts w:eastAsia="Calibri" w:cs="Arial Narrow"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sz w:val="20"/>
                <w:szCs w:val="22"/>
                <w:lang w:val="en-US"/>
              </w:rPr>
              <w:br w:type="page"/>
            </w:r>
            <w:r w:rsidRPr="00152AFA">
              <w:rPr>
                <w:rFonts w:eastAsia="Calibri"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eastAsia="Calibri" w:cs="Arial"/>
                <w:sz w:val="22"/>
                <w:szCs w:val="22"/>
                <w:lang w:val="en-US"/>
              </w:rPr>
              <w:t xml:space="preserve"> Infants 6-12 weeks of age at enrollment</w:t>
            </w:r>
          </w:p>
        </w:tc>
      </w:tr>
      <w:tr w:rsidR="00E53A2C" w:rsidRPr="00152AFA" w:rsidTr="00577B37">
        <w:tblPrEx>
          <w:jc w:val="left"/>
        </w:tblPrEx>
        <w:trPr>
          <w:gridBefore w:val="1"/>
          <w:gridAfter w:val="1"/>
          <w:wBefore w:w="85" w:type="dxa"/>
          <w:wAfter w:w="54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Siaya - model=group*(stop**(0.5))</w:t>
            </w:r>
          </w:p>
        </w:tc>
        <w:tc>
          <w:tcPr>
            <w:tcW w:w="4437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eastAsia="Calibri" w:cs="Arial Narrow"/>
                <w:b/>
                <w:sz w:val="20"/>
                <w:szCs w:val="22"/>
                <w:lang w:val="en-US"/>
              </w:rPr>
            </w:pPr>
            <w:r w:rsidRPr="00152AFA">
              <w:rPr>
                <w:rFonts w:eastAsia="Calibri" w:cs="Arial Narrow"/>
                <w:b/>
                <w:sz w:val="20"/>
                <w:szCs w:val="22"/>
                <w:lang w:val="en-US"/>
              </w:rPr>
              <w:t>Siaya - model=group*(log(stop))</w:t>
            </w:r>
          </w:p>
        </w:tc>
      </w:tr>
      <w:tr w:rsidR="00E53A2C" w:rsidRPr="00152AFA" w:rsidTr="00577B37">
        <w:tblPrEx>
          <w:jc w:val="left"/>
        </w:tblPrEx>
        <w:trPr>
          <w:gridBefore w:val="1"/>
          <w:gridAfter w:val="1"/>
          <w:wBefore w:w="85" w:type="dxa"/>
          <w:wAfter w:w="54" w:type="dxa"/>
        </w:trPr>
        <w:tc>
          <w:tcPr>
            <w:tcW w:w="44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noProof/>
                <w:sz w:val="20"/>
                <w:szCs w:val="22"/>
                <w:lang w:val="en-US" w:eastAsia="en-GB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1A0623C6" wp14:editId="78972982">
                  <wp:extent cx="2743200" cy="1819275"/>
                  <wp:effectExtent l="0" t="0" r="0" b="9525"/>
                  <wp:docPr id="6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eastAsia="Calibri" w:cs="Arial Narrow"/>
                <w:noProof/>
                <w:sz w:val="20"/>
                <w:szCs w:val="22"/>
                <w:lang w:val="en-US" w:eastAsia="en-GB"/>
              </w:rPr>
            </w:pPr>
            <w:r w:rsidRPr="00152AFA">
              <w:rPr>
                <w:rFonts w:eastAsia="Calibri" w:cs="Arial Narrow"/>
                <w:noProof/>
                <w:sz w:val="20"/>
                <w:szCs w:val="22"/>
                <w:lang w:val="en-GB" w:eastAsia="en-GB"/>
              </w:rPr>
              <w:drawing>
                <wp:inline distT="0" distB="0" distL="0" distR="0" wp14:anchorId="5A206479" wp14:editId="27BB66BA">
                  <wp:extent cx="2743200" cy="1838325"/>
                  <wp:effectExtent l="0" t="0" r="0" b="9525"/>
                  <wp:docPr id="6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A06" w:rsidRPr="00A85A06" w:rsidRDefault="00E53A2C" w:rsidP="00A85A06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Note that analyses to detect differences from constant efficacy are dependent on the number of malaria episodes. As a (mathematical) result, low transmission sites are less likely to show waning efficacy.</w:t>
      </w:r>
      <w:bookmarkEnd w:id="3"/>
    </w:p>
    <w:sectPr w:rsidR="00A85A06" w:rsidRPr="00A85A06" w:rsidSect="00A85A06">
      <w:headerReference w:type="default" r:id="rId32"/>
      <w:footerReference w:type="default" r:id="rId33"/>
      <w:pgSz w:w="12240" w:h="15840" w:code="1"/>
      <w:pgMar w:top="1267" w:right="1800" w:bottom="851" w:left="1800" w:header="547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06" w:rsidRDefault="00A85A06" w:rsidP="00A85A06">
    <w:pPr>
      <w:pStyle w:val="Footer"/>
      <w:tabs>
        <w:tab w:val="center" w:pos="4320"/>
        <w:tab w:val="right" w:pos="864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06" w:rsidRDefault="00A85A06" w:rsidP="00A85A06">
    <w:pPr>
      <w:pStyle w:val="Header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D53D0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C7685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489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F2C34"/>
    <w:rsid w:val="00A04DA4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85A06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662CD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4A20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FA8"/>
    <w:rsid w:val="00E33862"/>
    <w:rsid w:val="00E407E1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ABC9-2E4D-483F-BED0-8104B77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4</cp:revision>
  <cp:lastPrinted>2013-08-12T08:58:00Z</cp:lastPrinted>
  <dcterms:created xsi:type="dcterms:W3CDTF">2014-04-17T13:28:00Z</dcterms:created>
  <dcterms:modified xsi:type="dcterms:W3CDTF">2014-04-17T13:39:00Z</dcterms:modified>
</cp:coreProperties>
</file>