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FE" w:rsidRPr="00C4664C" w:rsidRDefault="008E3958">
      <w:pPr>
        <w:rPr>
          <w:rFonts w:cs="Arial"/>
          <w:b/>
          <w:color w:val="222222"/>
          <w:sz w:val="24"/>
          <w:szCs w:val="24"/>
          <w:lang w:val="fr-CA"/>
        </w:rPr>
      </w:pPr>
      <w:proofErr w:type="spellStart"/>
      <w:r>
        <w:rPr>
          <w:rFonts w:cs="Arial"/>
          <w:b/>
          <w:color w:val="222222"/>
          <w:sz w:val="24"/>
          <w:szCs w:val="24"/>
          <w:lang w:val="fr-CA"/>
        </w:rPr>
        <w:t>Language</w:t>
      </w:r>
      <w:proofErr w:type="spellEnd"/>
      <w:r>
        <w:rPr>
          <w:rFonts w:cs="Arial"/>
          <w:b/>
          <w:color w:val="222222"/>
          <w:sz w:val="24"/>
          <w:szCs w:val="24"/>
          <w:lang w:val="fr-CA"/>
        </w:rPr>
        <w:t xml:space="preserve">: </w:t>
      </w:r>
      <w:proofErr w:type="spellStart"/>
      <w:r>
        <w:rPr>
          <w:rFonts w:cs="Arial"/>
          <w:b/>
          <w:color w:val="222222"/>
          <w:sz w:val="24"/>
          <w:szCs w:val="24"/>
          <w:lang w:val="fr-CA"/>
        </w:rPr>
        <w:t>Spanish</w:t>
      </w:r>
      <w:proofErr w:type="spellEnd"/>
    </w:p>
    <w:p w:rsidR="00C4664C" w:rsidRDefault="00C4664C" w:rsidP="008F2DE6">
      <w:pPr>
        <w:spacing w:after="0" w:line="240" w:lineRule="auto"/>
        <w:rPr>
          <w:rFonts w:cs="Arial"/>
          <w:b/>
          <w:color w:val="222222"/>
          <w:sz w:val="24"/>
          <w:szCs w:val="24"/>
          <w:lang w:val="fr-CA"/>
        </w:rPr>
      </w:pPr>
      <w:r>
        <w:rPr>
          <w:rFonts w:cs="Arial"/>
          <w:b/>
          <w:color w:val="222222"/>
          <w:sz w:val="24"/>
          <w:szCs w:val="24"/>
          <w:lang w:val="fr-CA"/>
        </w:rPr>
        <w:t xml:space="preserve">Translator : </w:t>
      </w:r>
      <w:proofErr w:type="spellStart"/>
      <w:r w:rsidR="008F2DE6" w:rsidRPr="008F2DE6">
        <w:rPr>
          <w:rFonts w:cs="Arial"/>
          <w:b/>
          <w:color w:val="222222"/>
          <w:sz w:val="24"/>
          <w:szCs w:val="24"/>
          <w:lang w:val="fr-CA"/>
        </w:rPr>
        <w:t>Romi</w:t>
      </w:r>
      <w:bookmarkStart w:id="0" w:name="_GoBack"/>
      <w:bookmarkEnd w:id="0"/>
      <w:r w:rsidR="008F2DE6" w:rsidRPr="008F2DE6">
        <w:rPr>
          <w:rFonts w:cs="Arial"/>
          <w:b/>
          <w:color w:val="222222"/>
          <w:sz w:val="24"/>
          <w:szCs w:val="24"/>
          <w:lang w:val="fr-CA"/>
        </w:rPr>
        <w:t>na</w:t>
      </w:r>
      <w:proofErr w:type="spellEnd"/>
      <w:r w:rsidR="008F2DE6" w:rsidRPr="008F2DE6">
        <w:rPr>
          <w:rFonts w:cs="Arial"/>
          <w:b/>
          <w:color w:val="222222"/>
          <w:sz w:val="24"/>
          <w:szCs w:val="24"/>
          <w:lang w:val="fr-CA"/>
        </w:rPr>
        <w:t xml:space="preserve"> </w:t>
      </w:r>
      <w:proofErr w:type="spellStart"/>
      <w:r w:rsidR="008F2DE6" w:rsidRPr="008F2DE6">
        <w:rPr>
          <w:rFonts w:cs="Arial"/>
          <w:b/>
          <w:color w:val="222222"/>
          <w:sz w:val="24"/>
          <w:szCs w:val="24"/>
          <w:lang w:val="fr-CA"/>
        </w:rPr>
        <w:t>Brignardello</w:t>
      </w:r>
      <w:proofErr w:type="spellEnd"/>
      <w:r w:rsidR="008F2DE6" w:rsidRPr="008F2DE6">
        <w:rPr>
          <w:rFonts w:cs="Arial"/>
          <w:b/>
          <w:color w:val="222222"/>
          <w:sz w:val="24"/>
          <w:szCs w:val="24"/>
          <w:lang w:val="fr-CA"/>
        </w:rPr>
        <w:t>-Petersen</w:t>
      </w:r>
    </w:p>
    <w:p w:rsidR="008F2DE6" w:rsidRPr="008F2DE6" w:rsidRDefault="008F2DE6" w:rsidP="008F2DE6">
      <w:pPr>
        <w:spacing w:after="0" w:line="240" w:lineRule="auto"/>
        <w:rPr>
          <w:rFonts w:cs="Arial"/>
          <w:color w:val="222222"/>
          <w:sz w:val="24"/>
          <w:szCs w:val="24"/>
          <w:lang w:val="en-CA"/>
        </w:rPr>
      </w:pPr>
      <w:r w:rsidRPr="008F2DE6">
        <w:rPr>
          <w:rFonts w:cs="Arial"/>
          <w:color w:val="222222"/>
          <w:sz w:val="24"/>
          <w:szCs w:val="24"/>
          <w:lang w:val="en-CA"/>
        </w:rPr>
        <w:t>Institute of Health Policy, Management and Evaluation,</w:t>
      </w:r>
    </w:p>
    <w:p w:rsidR="008F2DE6" w:rsidRPr="008F2DE6" w:rsidRDefault="008F2DE6" w:rsidP="008F2DE6">
      <w:pPr>
        <w:spacing w:after="0" w:line="240" w:lineRule="auto"/>
        <w:rPr>
          <w:rFonts w:cs="Arial"/>
          <w:color w:val="222222"/>
          <w:sz w:val="24"/>
          <w:szCs w:val="24"/>
          <w:lang w:val="en-CA"/>
        </w:rPr>
      </w:pPr>
      <w:r w:rsidRPr="008F2DE6">
        <w:rPr>
          <w:rFonts w:cs="Arial"/>
          <w:color w:val="222222"/>
          <w:sz w:val="24"/>
          <w:szCs w:val="24"/>
          <w:lang w:val="en-CA"/>
        </w:rPr>
        <w:t>Faculty of Medicine, University of Toronto, Toronto, Canada</w:t>
      </w:r>
    </w:p>
    <w:p w:rsidR="008F2DE6" w:rsidRPr="008F2DE6" w:rsidRDefault="008F2DE6" w:rsidP="008F2DE6">
      <w:pPr>
        <w:spacing w:after="0" w:line="240" w:lineRule="auto"/>
        <w:rPr>
          <w:rFonts w:cs="Arial"/>
          <w:color w:val="222222"/>
          <w:sz w:val="24"/>
          <w:szCs w:val="24"/>
          <w:lang w:val="en-CA"/>
        </w:rPr>
      </w:pPr>
      <w:r w:rsidRPr="008F2DE6">
        <w:rPr>
          <w:rFonts w:cs="Arial"/>
          <w:color w:val="222222"/>
          <w:sz w:val="24"/>
          <w:szCs w:val="24"/>
          <w:lang w:val="en-CA"/>
        </w:rPr>
        <w:t>Evidence-Based Dentistry Unit, Faculty of Dentistry, University of Chile, Santiago, Chile</w:t>
      </w:r>
    </w:p>
    <w:p w:rsidR="008F2DE6" w:rsidRDefault="008F2DE6">
      <w:pPr>
        <w:rPr>
          <w:rFonts w:cs="Arial"/>
          <w:b/>
          <w:color w:val="222222"/>
          <w:sz w:val="24"/>
          <w:szCs w:val="24"/>
          <w:lang w:val="es-ES"/>
        </w:rPr>
      </w:pPr>
    </w:p>
    <w:p w:rsidR="00C40442" w:rsidRPr="00DC1245" w:rsidRDefault="004672A7">
      <w:pPr>
        <w:rPr>
          <w:rFonts w:cs="Arial"/>
          <w:color w:val="222222"/>
          <w:sz w:val="24"/>
          <w:szCs w:val="24"/>
          <w:lang w:val="es-ES"/>
        </w:rPr>
      </w:pPr>
      <w:r w:rsidRPr="00DC1245">
        <w:rPr>
          <w:rFonts w:cs="Arial"/>
          <w:b/>
          <w:color w:val="222222"/>
          <w:sz w:val="24"/>
          <w:szCs w:val="24"/>
          <w:lang w:val="es-ES"/>
        </w:rPr>
        <w:t>Título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: </w:t>
      </w:r>
      <w:r w:rsidR="00BC7DDE">
        <w:rPr>
          <w:rFonts w:cs="Arial"/>
          <w:color w:val="222222"/>
          <w:sz w:val="24"/>
          <w:szCs w:val="24"/>
          <w:lang w:val="es-ES"/>
        </w:rPr>
        <w:t>Síndrome de a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pnea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 obstructiva durante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el sueño y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el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riesgo de eventos cardiovasculares y la mortalidad por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todas las causas</w:t>
      </w:r>
      <w:r w:rsidRPr="00DC1245">
        <w:rPr>
          <w:rFonts w:cs="Arial"/>
          <w:color w:val="222222"/>
          <w:sz w:val="24"/>
          <w:szCs w:val="24"/>
          <w:lang w:val="es-ES"/>
        </w:rPr>
        <w:t>: un estudio de cohorte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s histórico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de una década</w:t>
      </w:r>
      <w:r w:rsidRPr="00DC1245">
        <w:rPr>
          <w:rFonts w:cs="Arial"/>
          <w:color w:val="222222"/>
          <w:sz w:val="24"/>
          <w:szCs w:val="24"/>
          <w:lang w:val="es-ES"/>
        </w:rPr>
        <w:br/>
      </w:r>
      <w:r w:rsidRPr="00DC1245">
        <w:rPr>
          <w:rFonts w:cs="Arial"/>
          <w:b/>
          <w:color w:val="222222"/>
          <w:sz w:val="24"/>
          <w:szCs w:val="24"/>
          <w:lang w:val="es-ES"/>
        </w:rPr>
        <w:t>Abstracto</w:t>
      </w:r>
      <w:r w:rsidRPr="00DC1245">
        <w:rPr>
          <w:rFonts w:cs="Arial"/>
          <w:color w:val="222222"/>
          <w:sz w:val="24"/>
          <w:szCs w:val="24"/>
          <w:lang w:val="es-ES"/>
        </w:rPr>
        <w:br/>
      </w:r>
      <w:r w:rsidR="00D01F86" w:rsidRPr="00AF14FE">
        <w:rPr>
          <w:rFonts w:cs="Arial"/>
          <w:color w:val="222222"/>
          <w:sz w:val="24"/>
          <w:szCs w:val="24"/>
          <w:u w:val="single"/>
          <w:lang w:val="es-ES"/>
        </w:rPr>
        <w:t>Antecedentes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: La </w:t>
      </w:r>
      <w:r w:rsidR="00BC7DDE">
        <w:rPr>
          <w:rFonts w:cs="Arial"/>
          <w:color w:val="222222"/>
          <w:sz w:val="24"/>
          <w:szCs w:val="24"/>
          <w:lang w:val="es-ES"/>
        </w:rPr>
        <w:t>a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pnea </w:t>
      </w:r>
      <w:r w:rsidR="00BC7DDE">
        <w:rPr>
          <w:rFonts w:cs="Arial"/>
          <w:color w:val="222222"/>
          <w:sz w:val="24"/>
          <w:szCs w:val="24"/>
          <w:lang w:val="es-ES"/>
        </w:rPr>
        <w:t>o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bstructiva </w:t>
      </w:r>
      <w:r w:rsidR="00BC7DDE">
        <w:rPr>
          <w:rFonts w:cs="Arial"/>
          <w:color w:val="222222"/>
          <w:sz w:val="24"/>
          <w:szCs w:val="24"/>
          <w:lang w:val="es-ES"/>
        </w:rPr>
        <w:t>durante el 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ueño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(AOS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) ha sido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descrita como un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factor de riesgo para enfermedad cardiovascular</w:t>
      </w:r>
      <w:r w:rsidR="00AF14FE">
        <w:rPr>
          <w:rFonts w:cs="Arial"/>
          <w:color w:val="222222"/>
          <w:sz w:val="24"/>
          <w:szCs w:val="24"/>
          <w:lang w:val="es-ES"/>
        </w:rPr>
        <w:t xml:space="preserve">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(ECV)</w:t>
      </w:r>
      <w:r w:rsidRPr="00DC1245">
        <w:rPr>
          <w:rFonts w:cs="Arial"/>
          <w:color w:val="222222"/>
          <w:sz w:val="24"/>
          <w:szCs w:val="24"/>
          <w:lang w:val="es-ES"/>
        </w:rPr>
        <w:t>. Aunque el índice de apnea-</w:t>
      </w:r>
      <w:proofErr w:type="spellStart"/>
      <w:r w:rsidRPr="00DC1245">
        <w:rPr>
          <w:rFonts w:cs="Arial"/>
          <w:color w:val="222222"/>
          <w:sz w:val="24"/>
          <w:szCs w:val="24"/>
          <w:lang w:val="es-ES"/>
        </w:rPr>
        <w:t>hipopnea</w:t>
      </w:r>
      <w:proofErr w:type="spellEnd"/>
      <w:r w:rsidRPr="00DC1245">
        <w:rPr>
          <w:rFonts w:cs="Arial"/>
          <w:color w:val="222222"/>
          <w:sz w:val="24"/>
          <w:szCs w:val="24"/>
          <w:lang w:val="es-ES"/>
        </w:rPr>
        <w:t xml:space="preserve"> (IAH)</w:t>
      </w:r>
      <w:r w:rsidR="00AF14FE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DC1245">
        <w:rPr>
          <w:rFonts w:cs="Arial"/>
          <w:color w:val="222222"/>
          <w:sz w:val="24"/>
          <w:szCs w:val="24"/>
          <w:lang w:val="es-ES"/>
        </w:rPr>
        <w:t>es la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 medida más utilizada de la AOS, otras variables menos estudiadas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relacionadas con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AOS</w:t>
      </w:r>
      <w:r w:rsidR="00DD5500"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r w:rsidRPr="00DC1245">
        <w:rPr>
          <w:rFonts w:cs="Arial"/>
          <w:color w:val="222222"/>
          <w:sz w:val="24"/>
          <w:szCs w:val="24"/>
          <w:lang w:val="es-ES"/>
        </w:rPr>
        <w:t>pueden ser más relevante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="00D01F86" w:rsidRPr="00DC1245">
        <w:rPr>
          <w:rFonts w:cs="Arial"/>
          <w:color w:val="222222"/>
          <w:sz w:val="24"/>
          <w:szCs w:val="24"/>
          <w:lang w:val="es-ES"/>
        </w:rPr>
        <w:t>patofisiológicamente</w:t>
      </w:r>
      <w:proofErr w:type="spellEnd"/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 y ofrecer una mejor predicción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. El objetivo de este estudio fue evaluar la relación entre las variables relacionadas con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AOS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y el riesgo de eventos </w:t>
      </w:r>
      <w:r w:rsidR="00BC7DDE">
        <w:rPr>
          <w:rFonts w:cs="Arial"/>
          <w:color w:val="222222"/>
          <w:sz w:val="24"/>
          <w:szCs w:val="24"/>
          <w:lang w:val="es-ES"/>
        </w:rPr>
        <w:t>E</w:t>
      </w:r>
      <w:r w:rsidRPr="00DC1245">
        <w:rPr>
          <w:rFonts w:cs="Arial"/>
          <w:color w:val="222222"/>
          <w:sz w:val="24"/>
          <w:szCs w:val="24"/>
          <w:lang w:val="es-ES"/>
        </w:rPr>
        <w:t>CV.</w:t>
      </w:r>
      <w:r w:rsidRPr="00DC1245">
        <w:rPr>
          <w:rFonts w:cs="Arial"/>
          <w:color w:val="222222"/>
          <w:sz w:val="24"/>
          <w:szCs w:val="24"/>
          <w:lang w:val="es-ES"/>
        </w:rPr>
        <w:br/>
      </w:r>
      <w:r w:rsidRPr="00AF14FE">
        <w:rPr>
          <w:rFonts w:cs="Arial"/>
          <w:color w:val="222222"/>
          <w:sz w:val="24"/>
          <w:szCs w:val="24"/>
          <w:u w:val="single"/>
          <w:lang w:val="es-ES"/>
        </w:rPr>
        <w:t>Métodos y resultados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: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se realizó </w:t>
      </w:r>
      <w:r w:rsidRPr="00DC1245">
        <w:rPr>
          <w:rFonts w:cs="Arial"/>
          <w:color w:val="222222"/>
          <w:sz w:val="24"/>
          <w:szCs w:val="24"/>
          <w:lang w:val="es-ES"/>
        </w:rPr>
        <w:t>un est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udio de cohortes histórico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utilizando una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base de datos clínicos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y datos de salud administrativa, en donde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se incluyó a a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dultos referidos por sospecha de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AOS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que fueron sometidos a </w:t>
      </w:r>
      <w:proofErr w:type="spellStart"/>
      <w:r w:rsidRPr="00DC1245">
        <w:rPr>
          <w:rFonts w:cs="Arial"/>
          <w:color w:val="222222"/>
          <w:sz w:val="24"/>
          <w:szCs w:val="24"/>
          <w:lang w:val="es-ES"/>
        </w:rPr>
        <w:t>polisomnografía</w:t>
      </w:r>
      <w:proofErr w:type="spellEnd"/>
      <w:r w:rsidRPr="00DC1245">
        <w:rPr>
          <w:rFonts w:cs="Arial"/>
          <w:color w:val="222222"/>
          <w:sz w:val="24"/>
          <w:szCs w:val="24"/>
          <w:lang w:val="es-ES"/>
        </w:rPr>
        <w:t xml:space="preserve"> diagnóstica en el laboratorio del sueño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del Hospital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proofErr w:type="spellStart"/>
      <w:r w:rsidRPr="00DC1245">
        <w:rPr>
          <w:rFonts w:cs="Arial"/>
          <w:color w:val="222222"/>
          <w:sz w:val="24"/>
          <w:szCs w:val="24"/>
          <w:lang w:val="es-ES"/>
        </w:rPr>
        <w:t>St</w:t>
      </w:r>
      <w:proofErr w:type="spellEnd"/>
      <w:r w:rsidRPr="00DC1245">
        <w:rPr>
          <w:rFonts w:cs="Arial"/>
          <w:color w:val="222222"/>
          <w:sz w:val="24"/>
          <w:szCs w:val="24"/>
          <w:lang w:val="es-ES"/>
        </w:rPr>
        <w:t xml:space="preserve"> Michael (Toronto , Canadá ) entre 1994 y 2010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. 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El seguimiento de los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pacientes </w:t>
      </w:r>
      <w:r w:rsidRPr="00DC1245">
        <w:rPr>
          <w:rFonts w:cs="Arial"/>
          <w:color w:val="222222"/>
          <w:sz w:val="24"/>
          <w:szCs w:val="24"/>
          <w:lang w:val="es-ES"/>
        </w:rPr>
        <w:t>fue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 guardado entre </w:t>
      </w:r>
      <w:r w:rsidRPr="00DC1245">
        <w:rPr>
          <w:rFonts w:cs="Arial"/>
          <w:color w:val="222222"/>
          <w:sz w:val="24"/>
          <w:szCs w:val="24"/>
          <w:lang w:val="es-ES"/>
        </w:rPr>
        <w:t>los datos ad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ministrativos del Instituto de Ciencias Clínicas de Evaluación (Ontario , Canadá) hasta M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ayo de 2011 para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determinar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la ocurrencia de un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desenlace compuesto (infarto </w:t>
      </w:r>
      <w:r w:rsidR="00BC7DDE">
        <w:rPr>
          <w:rFonts w:cs="Arial"/>
          <w:color w:val="222222"/>
          <w:sz w:val="24"/>
          <w:szCs w:val="24"/>
          <w:lang w:val="es-ES"/>
        </w:rPr>
        <w:t>de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mio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cardio, accidente cerebrovascular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, insuficiencia cardíaca congestiva, procedimientos de revascularización o muerte por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todas 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otras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causas)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. 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Los </w:t>
      </w:r>
      <w:r w:rsidR="00BC7DDE" w:rsidRPr="00DC1245">
        <w:rPr>
          <w:rFonts w:cs="Arial"/>
          <w:color w:val="222222"/>
          <w:sz w:val="24"/>
          <w:szCs w:val="24"/>
          <w:lang w:val="es-ES"/>
        </w:rPr>
        <w:t xml:space="preserve">modelos de regresión de Cox </w:t>
      </w:r>
      <w:r w:rsidR="00BC7DDE">
        <w:rPr>
          <w:rFonts w:cs="Arial"/>
          <w:color w:val="222222"/>
          <w:sz w:val="24"/>
          <w:szCs w:val="24"/>
          <w:lang w:val="es-ES"/>
        </w:rPr>
        <w:t xml:space="preserve">fueron utilizados para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investigar la asociación entre las variables relacionadas con OSA y el desenlace compuesto controlando por factores de riesgo comunes.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Los resultados se expresaron como </w:t>
      </w:r>
      <w:r w:rsidR="00F81B68">
        <w:rPr>
          <w:rFonts w:cs="Arial"/>
          <w:color w:val="222222"/>
          <w:sz w:val="24"/>
          <w:szCs w:val="24"/>
          <w:lang w:val="es-ES"/>
        </w:rPr>
        <w:t xml:space="preserve">razón de riesgo 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>(</w:t>
      </w:r>
      <w:r w:rsidR="00F81B68">
        <w:rPr>
          <w:rFonts w:cs="Arial"/>
          <w:color w:val="222222"/>
          <w:sz w:val="24"/>
          <w:szCs w:val="24"/>
          <w:lang w:val="es-ES"/>
        </w:rPr>
        <w:t>RR</w:t>
      </w:r>
      <w:r w:rsidRPr="00DC1245">
        <w:rPr>
          <w:rFonts w:cs="Arial"/>
          <w:color w:val="222222"/>
          <w:sz w:val="24"/>
          <w:szCs w:val="24"/>
          <w:lang w:val="es-ES"/>
        </w:rPr>
        <w:t>) e IC</w:t>
      </w:r>
      <w:r w:rsidR="00D01F86" w:rsidRPr="00DC1245">
        <w:rPr>
          <w:rFonts w:cs="Arial"/>
          <w:color w:val="222222"/>
          <w:sz w:val="24"/>
          <w:szCs w:val="24"/>
          <w:lang w:val="es-ES"/>
        </w:rPr>
        <w:t xml:space="preserve"> del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 95%; para las variables continuas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, los </w:t>
      </w:r>
      <w:r w:rsidR="00213A21">
        <w:rPr>
          <w:rFonts w:cs="Arial"/>
          <w:color w:val="222222"/>
          <w:sz w:val="24"/>
          <w:szCs w:val="24"/>
          <w:lang w:val="es-ES"/>
        </w:rPr>
        <w:t>R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R </w:t>
      </w:r>
      <w:r w:rsidRPr="00DC1245">
        <w:rPr>
          <w:rFonts w:cs="Arial"/>
          <w:color w:val="222222"/>
          <w:sz w:val="24"/>
          <w:szCs w:val="24"/>
          <w:lang w:val="es-ES"/>
        </w:rPr>
        <w:t>c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omparan los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porcentajes de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75 y 25</w:t>
      </w:r>
      <w:r w:rsidRPr="00DC1245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br/>
      </w:r>
      <w:r w:rsidR="00D60DF6" w:rsidRPr="00DC1245">
        <w:rPr>
          <w:rFonts w:cs="Arial"/>
          <w:color w:val="222222"/>
          <w:sz w:val="24"/>
          <w:szCs w:val="24"/>
          <w:lang w:val="es-ES"/>
        </w:rPr>
        <w:t>Para un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 periodo promedio de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seguimiento de 68 meses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, 1.172 (11,5 %) de los 10.149 participantes experimentaron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un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desenlace compuesto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. En un modelo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que ajustó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con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todos los factores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,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excepto por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las variables relacionadas con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AOS e IAH,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fueron predictores independientes significativos: el tiempo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con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saturación de oxígeno &lt; 90 % (</w:t>
      </w:r>
      <w:r w:rsidRPr="00334713">
        <w:rPr>
          <w:rFonts w:cs="Arial"/>
          <w:sz w:val="24"/>
          <w:szCs w:val="24"/>
          <w:lang w:val="es-ES"/>
        </w:rPr>
        <w:t>9 minutos</w:t>
      </w:r>
      <w:r w:rsidR="00213A21" w:rsidRPr="00334713">
        <w:rPr>
          <w:rFonts w:cs="Arial"/>
          <w:sz w:val="24"/>
          <w:szCs w:val="24"/>
          <w:lang w:val="es-ES"/>
        </w:rPr>
        <w:t xml:space="preserve"> o </w:t>
      </w:r>
      <w:r w:rsidR="00334713" w:rsidRPr="00334713">
        <w:rPr>
          <w:rFonts w:cs="Arial"/>
          <w:sz w:val="24"/>
          <w:szCs w:val="24"/>
          <w:lang w:val="es-ES"/>
        </w:rPr>
        <w:t>bien 0</w:t>
      </w:r>
      <w:r w:rsidRPr="00DC1245">
        <w:rPr>
          <w:rFonts w:cs="Arial"/>
          <w:color w:val="222222"/>
          <w:sz w:val="24"/>
          <w:szCs w:val="24"/>
          <w:lang w:val="es-ES"/>
        </w:rPr>
        <w:t>; HR =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5, IC del 95 %: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25 a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79), el tiempo de sueño ( 4</w:t>
      </w:r>
      <w:r w:rsidR="00213A21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9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o bien </w:t>
      </w:r>
      <w:r w:rsidRPr="00DC1245">
        <w:rPr>
          <w:rFonts w:cs="Arial"/>
          <w:color w:val="222222"/>
          <w:sz w:val="24"/>
          <w:szCs w:val="24"/>
          <w:lang w:val="es-ES"/>
        </w:rPr>
        <w:t>6</w:t>
      </w:r>
      <w:r w:rsidR="00213A21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4 horas; </w:t>
      </w:r>
      <w:r w:rsidR="00213A21">
        <w:rPr>
          <w:rFonts w:cs="Arial"/>
          <w:color w:val="222222"/>
          <w:sz w:val="24"/>
          <w:szCs w:val="24"/>
          <w:lang w:val="es-ES"/>
        </w:rPr>
        <w:t>R</w:t>
      </w:r>
      <w:r w:rsidRPr="00DC1245">
        <w:rPr>
          <w:rFonts w:cs="Arial"/>
          <w:color w:val="222222"/>
          <w:sz w:val="24"/>
          <w:szCs w:val="24"/>
          <w:lang w:val="es-ES"/>
        </w:rPr>
        <w:t>R =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2, IC 95 %: 1.12 a 1.27) ,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número de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veces que la persona se </w:t>
      </w:r>
      <w:r w:rsidRPr="00DC1245">
        <w:rPr>
          <w:rFonts w:cs="Arial"/>
          <w:color w:val="222222"/>
          <w:sz w:val="24"/>
          <w:szCs w:val="24"/>
          <w:lang w:val="es-ES"/>
        </w:rPr>
        <w:t>despert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ó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(35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o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18; </w:t>
      </w:r>
      <w:r w:rsidR="00213A21">
        <w:rPr>
          <w:rFonts w:cs="Arial"/>
          <w:color w:val="222222"/>
          <w:sz w:val="24"/>
          <w:szCs w:val="24"/>
          <w:lang w:val="es-ES"/>
        </w:rPr>
        <w:t>R</w:t>
      </w:r>
      <w:r w:rsidRPr="00DC1245">
        <w:rPr>
          <w:rFonts w:cs="Arial"/>
          <w:color w:val="222222"/>
          <w:sz w:val="24"/>
          <w:szCs w:val="24"/>
          <w:lang w:val="es-ES"/>
        </w:rPr>
        <w:t>R =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06, IC 95 %: 1.2 a 1.10) , movimientos periódicos de las piernas (13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o bien </w:t>
      </w:r>
      <w:r w:rsidRPr="00DC1245">
        <w:rPr>
          <w:rFonts w:cs="Arial"/>
          <w:color w:val="222222"/>
          <w:sz w:val="24"/>
          <w:szCs w:val="24"/>
          <w:lang w:val="es-ES"/>
        </w:rPr>
        <w:t>0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 por </w:t>
      </w:r>
      <w:r w:rsidR="00D1723B" w:rsidRPr="00D1723B">
        <w:rPr>
          <w:rFonts w:cs="Arial"/>
          <w:color w:val="222222"/>
          <w:sz w:val="24"/>
          <w:szCs w:val="24"/>
          <w:lang w:val="es-ES"/>
        </w:rPr>
        <w:t>hora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; </w:t>
      </w:r>
      <w:r w:rsidR="00213A21">
        <w:rPr>
          <w:rFonts w:cs="Arial"/>
          <w:color w:val="222222"/>
          <w:sz w:val="24"/>
          <w:szCs w:val="24"/>
          <w:lang w:val="es-ES"/>
        </w:rPr>
        <w:t>R</w:t>
      </w:r>
      <w:r w:rsidR="00D1723B">
        <w:rPr>
          <w:rFonts w:cs="Arial"/>
          <w:color w:val="222222"/>
          <w:sz w:val="24"/>
          <w:szCs w:val="24"/>
          <w:lang w:val="es-ES"/>
        </w:rPr>
        <w:t>R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=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05</w:t>
      </w:r>
      <w:r w:rsidR="00553B4E">
        <w:rPr>
          <w:rFonts w:cs="Arial"/>
          <w:color w:val="222222"/>
          <w:sz w:val="24"/>
          <w:szCs w:val="24"/>
          <w:lang w:val="es-ES"/>
        </w:rPr>
        <w:t>,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IC 95%: 01.03 a 01.07), frecuencia cardíaca (70 </w:t>
      </w:r>
      <w:r w:rsidR="00213A21">
        <w:rPr>
          <w:rFonts w:cs="Arial"/>
          <w:color w:val="222222"/>
          <w:sz w:val="24"/>
          <w:szCs w:val="24"/>
          <w:lang w:val="es-ES"/>
        </w:rPr>
        <w:t xml:space="preserve">o bien 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56 </w:t>
      </w:r>
      <w:proofErr w:type="spellStart"/>
      <w:r w:rsidRPr="00DC1245">
        <w:rPr>
          <w:rFonts w:cs="Arial"/>
          <w:color w:val="222222"/>
          <w:sz w:val="24"/>
          <w:szCs w:val="24"/>
          <w:lang w:val="es-ES"/>
        </w:rPr>
        <w:t>lpm</w:t>
      </w:r>
      <w:proofErr w:type="spellEnd"/>
      <w:r w:rsidRPr="00DC1245">
        <w:rPr>
          <w:rFonts w:cs="Arial"/>
          <w:color w:val="222222"/>
          <w:sz w:val="24"/>
          <w:szCs w:val="24"/>
          <w:lang w:val="es-ES"/>
        </w:rPr>
        <w:t xml:space="preserve">; </w:t>
      </w:r>
      <w:r w:rsidR="00213A21">
        <w:rPr>
          <w:rFonts w:cs="Arial"/>
          <w:color w:val="222222"/>
          <w:sz w:val="24"/>
          <w:szCs w:val="24"/>
          <w:lang w:val="es-ES"/>
        </w:rPr>
        <w:t>R</w:t>
      </w:r>
      <w:r w:rsidRPr="00DC1245">
        <w:rPr>
          <w:rFonts w:cs="Arial"/>
          <w:color w:val="222222"/>
          <w:sz w:val="24"/>
          <w:szCs w:val="24"/>
          <w:lang w:val="es-ES"/>
        </w:rPr>
        <w:t>R = 1</w:t>
      </w:r>
      <w:r w:rsidR="00553B4E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28, IC del 95 %: 1</w:t>
      </w:r>
      <w:r w:rsidR="00CB491C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19 a 1</w:t>
      </w:r>
      <w:r w:rsidR="00CB491C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37), y somnolencia diurna (</w:t>
      </w:r>
      <w:r w:rsidR="00213A21">
        <w:rPr>
          <w:rFonts w:cs="Arial"/>
          <w:color w:val="222222"/>
          <w:sz w:val="24"/>
          <w:szCs w:val="24"/>
          <w:lang w:val="es-ES"/>
        </w:rPr>
        <w:t>R</w:t>
      </w:r>
      <w:r w:rsidRPr="00DC1245">
        <w:rPr>
          <w:rFonts w:cs="Arial"/>
          <w:color w:val="222222"/>
          <w:sz w:val="24"/>
          <w:szCs w:val="24"/>
          <w:lang w:val="es-ES"/>
        </w:rPr>
        <w:t>R = 1</w:t>
      </w:r>
      <w:r w:rsidR="00CB491C">
        <w:rPr>
          <w:rFonts w:cs="Arial"/>
          <w:color w:val="222222"/>
          <w:sz w:val="24"/>
          <w:szCs w:val="24"/>
          <w:lang w:val="es-ES"/>
        </w:rPr>
        <w:t>.</w:t>
      </w:r>
      <w:r w:rsidRPr="00DC1245">
        <w:rPr>
          <w:rFonts w:cs="Arial"/>
          <w:color w:val="222222"/>
          <w:sz w:val="24"/>
          <w:szCs w:val="24"/>
          <w:lang w:val="es-ES"/>
        </w:rPr>
        <w:t>13</w:t>
      </w:r>
      <w:r w:rsidR="00CB491C">
        <w:rPr>
          <w:rFonts w:cs="Arial"/>
          <w:color w:val="222222"/>
          <w:sz w:val="24"/>
          <w:szCs w:val="24"/>
          <w:lang w:val="es-ES"/>
        </w:rPr>
        <w:t>,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IC 95%: 1.1 a 1.28).</w:t>
      </w:r>
      <w:r w:rsidRPr="00DC1245">
        <w:rPr>
          <w:rFonts w:cs="Arial"/>
          <w:color w:val="222222"/>
          <w:sz w:val="24"/>
          <w:szCs w:val="24"/>
          <w:lang w:val="es-ES"/>
        </w:rPr>
        <w:br/>
        <w:t xml:space="preserve">La principal limitación del estudio fue la falta de información sobre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la adherencia al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CPAP.</w:t>
      </w:r>
      <w:r w:rsidRPr="00DC1245">
        <w:rPr>
          <w:rFonts w:cs="Arial"/>
          <w:color w:val="222222"/>
          <w:sz w:val="24"/>
          <w:szCs w:val="24"/>
          <w:lang w:val="es-ES"/>
        </w:rPr>
        <w:br/>
      </w:r>
      <w:r w:rsidRPr="00AF14FE">
        <w:rPr>
          <w:rFonts w:cs="Arial"/>
          <w:color w:val="222222"/>
          <w:sz w:val="24"/>
          <w:szCs w:val="24"/>
          <w:u w:val="single"/>
          <w:lang w:val="es-ES"/>
        </w:rPr>
        <w:lastRenderedPageBreak/>
        <w:t>Conclusión</w:t>
      </w:r>
      <w:r w:rsidRPr="00DC1245">
        <w:rPr>
          <w:rFonts w:cs="Arial"/>
          <w:color w:val="222222"/>
          <w:sz w:val="24"/>
          <w:szCs w:val="24"/>
          <w:lang w:val="es-ES"/>
        </w:rPr>
        <w:t>: Los factores relac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ionados con AOS,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distintos de IAH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>,</w:t>
      </w:r>
      <w:r w:rsidRPr="00DC1245">
        <w:rPr>
          <w:rFonts w:cs="Arial"/>
          <w:color w:val="222222"/>
          <w:sz w:val="24"/>
          <w:szCs w:val="24"/>
          <w:lang w:val="es-ES"/>
        </w:rPr>
        <w:t xml:space="preserve"> </w:t>
      </w:r>
      <w:r w:rsidR="00D60DF6" w:rsidRPr="00DC1245">
        <w:rPr>
          <w:rFonts w:cs="Arial"/>
          <w:color w:val="222222"/>
          <w:sz w:val="24"/>
          <w:szCs w:val="24"/>
          <w:lang w:val="es-ES"/>
        </w:rPr>
        <w:t xml:space="preserve">mostraron ser predictores importantes del desenlace compuesto </w:t>
      </w:r>
      <w:r w:rsidRPr="00DC1245">
        <w:rPr>
          <w:rFonts w:cs="Arial"/>
          <w:color w:val="222222"/>
          <w:sz w:val="24"/>
          <w:szCs w:val="24"/>
          <w:lang w:val="es-ES"/>
        </w:rPr>
        <w:t>CV y deben ser considerados en futuros estudios y la práctica clínica.</w:t>
      </w:r>
    </w:p>
    <w:sectPr w:rsidR="00C40442" w:rsidRPr="00DC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A7"/>
    <w:rsid w:val="00213A21"/>
    <w:rsid w:val="00334713"/>
    <w:rsid w:val="004672A7"/>
    <w:rsid w:val="00553B4E"/>
    <w:rsid w:val="0076180A"/>
    <w:rsid w:val="00891564"/>
    <w:rsid w:val="008E3958"/>
    <w:rsid w:val="008F2DE6"/>
    <w:rsid w:val="00AF14FE"/>
    <w:rsid w:val="00B476DC"/>
    <w:rsid w:val="00BC7DDE"/>
    <w:rsid w:val="00C40442"/>
    <w:rsid w:val="00C4664C"/>
    <w:rsid w:val="00CB491C"/>
    <w:rsid w:val="00D01F86"/>
    <w:rsid w:val="00D1723B"/>
    <w:rsid w:val="00D60DF6"/>
    <w:rsid w:val="00DC1245"/>
    <w:rsid w:val="00DD5500"/>
    <w:rsid w:val="00F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Wright</cp:lastModifiedBy>
  <cp:revision>6</cp:revision>
  <dcterms:created xsi:type="dcterms:W3CDTF">2014-01-06T13:20:00Z</dcterms:created>
  <dcterms:modified xsi:type="dcterms:W3CDTF">2014-01-16T21:19:00Z</dcterms:modified>
</cp:coreProperties>
</file>