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68" w:rsidRDefault="00522DD5" w:rsidP="00882468">
      <w:pPr>
        <w:spacing w:line="480" w:lineRule="auto"/>
        <w:rPr>
          <w:b/>
        </w:rPr>
      </w:pPr>
      <w:r>
        <w:rPr>
          <w:b/>
        </w:rPr>
        <w:t>Text S1</w:t>
      </w:r>
      <w:bookmarkStart w:id="0" w:name="_GoBack"/>
      <w:bookmarkEnd w:id="0"/>
    </w:p>
    <w:p w:rsidR="00882468" w:rsidRPr="00E56B33" w:rsidRDefault="00882468" w:rsidP="00882468">
      <w:pPr>
        <w:spacing w:line="480" w:lineRule="auto"/>
        <w:rPr>
          <w:i/>
        </w:rPr>
      </w:pPr>
      <w:r w:rsidRPr="00E56B33">
        <w:rPr>
          <w:i/>
        </w:rPr>
        <w:t>Statistical Modeling</w:t>
      </w:r>
    </w:p>
    <w:p w:rsidR="00882468" w:rsidRPr="004B2EAC" w:rsidRDefault="00882468" w:rsidP="00882468">
      <w:pPr>
        <w:pStyle w:val="Heading2"/>
        <w:spacing w:line="480" w:lineRule="auto"/>
        <w:rPr>
          <w:i w:val="0"/>
          <w:color w:val="000000"/>
        </w:rPr>
      </w:pPr>
      <w:r w:rsidRPr="004B2EAC">
        <w:rPr>
          <w:i w:val="0"/>
        </w:rPr>
        <w:t>In order to characterize associations between the long-term concentrations of PM</w:t>
      </w:r>
      <w:r w:rsidRPr="004B2EAC">
        <w:rPr>
          <w:i w:val="0"/>
          <w:vertAlign w:val="subscript"/>
        </w:rPr>
        <w:t>2.5</w:t>
      </w:r>
      <w:r w:rsidRPr="004B2EAC">
        <w:rPr>
          <w:i w:val="0"/>
        </w:rPr>
        <w:t xml:space="preserve"> and IMT </w:t>
      </w:r>
      <w:r>
        <w:rPr>
          <w:i w:val="0"/>
        </w:rPr>
        <w:t xml:space="preserve">at baseline and IMT </w:t>
      </w:r>
      <w:r w:rsidRPr="004B2EAC">
        <w:rPr>
          <w:i w:val="0"/>
        </w:rPr>
        <w:t xml:space="preserve">progression, we fit a </w:t>
      </w:r>
      <w:r w:rsidRPr="004B2EAC">
        <w:rPr>
          <w:i w:val="0"/>
          <w:color w:val="000000"/>
        </w:rPr>
        <w:t xml:space="preserve">longitudinal mixed model with random slopes and intercepts for each subject in </w:t>
      </w:r>
      <w:r w:rsidRPr="004B2EAC">
        <w:rPr>
          <w:i w:val="0"/>
        </w:rPr>
        <w:t>R v.2.10.1.</w:t>
      </w:r>
      <w:r>
        <w:rPr>
          <w:i w:val="0"/>
        </w:rPr>
        <w:fldChar w:fldCharType="begin"/>
      </w:r>
      <w:r>
        <w:rPr>
          <w:i w:val="0"/>
        </w:rPr>
        <w:instrText xml:space="preserve"> ADDIN EN.CITE &lt;EndNote&gt;&lt;Cite&gt;&lt;Author&gt;Singer&lt;/Author&gt;&lt;Year&gt;2003&lt;/Year&gt;&lt;RecNum&gt;1034&lt;/RecNum&gt;&lt;DisplayText&gt;[21]&lt;/DisplayText&gt;&lt;record&gt;&lt;rec-number&gt;1034&lt;/rec-number&gt;&lt;foreign-keys&gt;&lt;key app="EN" db-id="ffwwfvtw0ddaawe29dp5eafx5tfwv0dx5vw9"&gt;1034&lt;/key&gt;&lt;/foreign-keys&gt;&lt;ref-type name="Edited Book"&gt;28&lt;/ref-type&gt;&lt;contributors&gt;&lt;authors&gt;&lt;author&gt;Singer, JD&lt;/author&gt;&lt;author&gt;Willett, JB&lt;/author&gt;&lt;/authors&gt;&lt;/contributors&gt;&lt;titles&gt;&lt;title&gt;Applied Longitudinal Data Analysis&lt;/title&gt;&lt;/titles&gt;&lt;edition&gt;1&lt;/edition&gt;&lt;dates&gt;&lt;year&gt;2003&lt;/year&gt;&lt;/dates&gt;&lt;publisher&gt;Oxford University Press&lt;/publisher&gt;&lt;isbn&gt;0195152964&lt;/isbn&gt;&lt;urls&gt;&lt;/urls&gt;&lt;/record&gt;&lt;/Cite&gt;&lt;/EndNote&gt;</w:instrText>
      </w:r>
      <w:r>
        <w:rPr>
          <w:i w:val="0"/>
        </w:rPr>
        <w:fldChar w:fldCharType="separate"/>
      </w:r>
      <w:r>
        <w:rPr>
          <w:i w:val="0"/>
          <w:noProof/>
        </w:rPr>
        <w:t>[</w:t>
      </w:r>
      <w:hyperlink w:anchor="_ENREF_21" w:tooltip="Singer, 2003 #1034" w:history="1">
        <w:r>
          <w:rPr>
            <w:i w:val="0"/>
            <w:noProof/>
          </w:rPr>
          <w:t>21</w:t>
        </w:r>
      </w:hyperlink>
      <w:r>
        <w:rPr>
          <w:i w:val="0"/>
          <w:noProof/>
        </w:rPr>
        <w:t>]</w:t>
      </w:r>
      <w:r>
        <w:rPr>
          <w:i w:val="0"/>
        </w:rPr>
        <w:fldChar w:fldCharType="end"/>
      </w:r>
      <w:r w:rsidRPr="004B2EAC">
        <w:rPr>
          <w:i w:val="0"/>
          <w:color w:val="000000"/>
        </w:rPr>
        <w:t xml:space="preserve"> This modeled examined the included three components (</w:t>
      </w:r>
      <w:r>
        <w:rPr>
          <w:i w:val="0"/>
          <w:color w:val="000000"/>
        </w:rPr>
        <w:t>{predictors of baseline IMT}</w:t>
      </w:r>
      <w:r w:rsidRPr="004B2EAC">
        <w:rPr>
          <w:i w:val="0"/>
          <w:color w:val="000000"/>
        </w:rPr>
        <w:t>, [</w:t>
      </w:r>
      <w:r>
        <w:rPr>
          <w:i w:val="0"/>
          <w:color w:val="000000"/>
        </w:rPr>
        <w:t xml:space="preserve">predictors of </w:t>
      </w:r>
      <w:r w:rsidRPr="004B2EAC">
        <w:rPr>
          <w:i w:val="0"/>
          <w:color w:val="000000"/>
        </w:rPr>
        <w:t>progression from baseline], and (time-varying effects)), as follows:</w:t>
      </w:r>
    </w:p>
    <w:p w:rsidR="00882468" w:rsidRPr="004B2EAC" w:rsidRDefault="00882468" w:rsidP="00882468">
      <w:pPr>
        <w:spacing w:line="480" w:lineRule="auto"/>
        <w:rPr>
          <w:color w:val="000000"/>
        </w:rPr>
      </w:pPr>
    </w:p>
    <w:p w:rsidR="00882468" w:rsidRPr="004B2EAC" w:rsidRDefault="00882468" w:rsidP="00882468">
      <w:pPr>
        <w:spacing w:line="480" w:lineRule="auto"/>
        <w:jc w:val="center"/>
        <w:rPr>
          <w:color w:val="000000"/>
        </w:rPr>
      </w:pPr>
      <w:proofErr w:type="spellStart"/>
      <w:r w:rsidRPr="004B2EAC">
        <w:rPr>
          <w:color w:val="000000"/>
        </w:rPr>
        <w:t>Y</w:t>
      </w:r>
      <w:r w:rsidRPr="004B2EAC">
        <w:rPr>
          <w:i/>
          <w:color w:val="000000"/>
          <w:vertAlign w:val="subscript"/>
        </w:rPr>
        <w:t>kit</w:t>
      </w:r>
      <w:proofErr w:type="spellEnd"/>
      <w:proofErr w:type="gramStart"/>
      <w:r w:rsidRPr="004B2EAC">
        <w:rPr>
          <w:color w:val="000000"/>
        </w:rPr>
        <w:t>={</w:t>
      </w:r>
      <w:proofErr w:type="gramEnd"/>
      <w:r w:rsidRPr="004B2EAC">
        <w:rPr>
          <w:rFonts w:ascii="Symbol" w:hAnsi="Symbol"/>
          <w:color w:val="000000"/>
        </w:rPr>
        <w:t></w:t>
      </w:r>
      <w:r w:rsidRPr="004B2EAC">
        <w:rPr>
          <w:i/>
          <w:color w:val="000000"/>
          <w:vertAlign w:val="subscript"/>
        </w:rPr>
        <w:t>0</w:t>
      </w:r>
      <w:r w:rsidRPr="004B2EAC">
        <w:rPr>
          <w:color w:val="000000"/>
        </w:rPr>
        <w:t>+</w:t>
      </w:r>
      <w:r w:rsidRPr="004B2EAC">
        <w:rPr>
          <w:rFonts w:ascii="Times" w:hAnsi="Times"/>
          <w:color w:val="000000"/>
        </w:rPr>
        <w:t>a</w:t>
      </w:r>
      <w:r w:rsidRPr="004B2EAC">
        <w:rPr>
          <w:i/>
          <w:color w:val="000000"/>
          <w:vertAlign w:val="subscript"/>
        </w:rPr>
        <w:t>ki</w:t>
      </w:r>
      <w:r w:rsidRPr="004B2EAC">
        <w:rPr>
          <w:color w:val="000000"/>
        </w:rPr>
        <w:t>+ X</w:t>
      </w:r>
      <w:r w:rsidRPr="004B2EAC">
        <w:rPr>
          <w:i/>
          <w:color w:val="000000"/>
          <w:vertAlign w:val="subscript"/>
        </w:rPr>
        <w:t>ki0</w:t>
      </w:r>
      <w:r w:rsidRPr="004B2EAC">
        <w:rPr>
          <w:rFonts w:ascii="Symbol" w:hAnsi="Symbol"/>
          <w:color w:val="000000"/>
        </w:rPr>
        <w:t></w:t>
      </w:r>
      <w:r w:rsidRPr="004B2EAC">
        <w:rPr>
          <w:i/>
          <w:color w:val="000000"/>
          <w:vertAlign w:val="subscript"/>
        </w:rPr>
        <w:t>1</w:t>
      </w:r>
      <w:r w:rsidRPr="004B2EAC">
        <w:rPr>
          <w:color w:val="000000"/>
        </w:rPr>
        <w:t>+</w:t>
      </w:r>
      <w:r w:rsidRPr="009728A7">
        <w:rPr>
          <w:b/>
          <w:color w:val="000000"/>
        </w:rPr>
        <w:t>Z</w:t>
      </w:r>
      <w:r w:rsidRPr="004B2EAC">
        <w:rPr>
          <w:i/>
          <w:color w:val="000000"/>
          <w:vertAlign w:val="subscript"/>
        </w:rPr>
        <w:t>ki0</w:t>
      </w:r>
      <w:r w:rsidRPr="009728A7">
        <w:rPr>
          <w:rFonts w:ascii="Symbol" w:hAnsi="Symbol"/>
          <w:b/>
          <w:color w:val="000000"/>
        </w:rPr>
        <w:t></w:t>
      </w:r>
      <w:r w:rsidRPr="004B2EAC">
        <w:rPr>
          <w:i/>
          <w:color w:val="000000"/>
          <w:vertAlign w:val="subscript"/>
        </w:rPr>
        <w:t>2</w:t>
      </w:r>
      <w:r w:rsidRPr="004B2EAC">
        <w:rPr>
          <w:color w:val="000000"/>
        </w:rPr>
        <w:t>}+[</w:t>
      </w:r>
      <w:r w:rsidRPr="004B2EAC">
        <w:rPr>
          <w:rFonts w:ascii="Symbol" w:hAnsi="Symbol"/>
          <w:color w:val="000000"/>
        </w:rPr>
        <w:t></w:t>
      </w:r>
      <w:r w:rsidRPr="004B2EAC">
        <w:rPr>
          <w:i/>
          <w:color w:val="000000"/>
          <w:vertAlign w:val="subscript"/>
        </w:rPr>
        <w:t>o</w:t>
      </w:r>
      <w:r w:rsidRPr="004B2EAC">
        <w:rPr>
          <w:color w:val="000000"/>
        </w:rPr>
        <w:t xml:space="preserve">+ </w:t>
      </w:r>
      <w:r w:rsidRPr="004B2EAC">
        <w:rPr>
          <w:rFonts w:ascii="Times" w:hAnsi="Times"/>
          <w:color w:val="000000"/>
        </w:rPr>
        <w:t>b</w:t>
      </w:r>
      <w:r w:rsidRPr="004B2EAC">
        <w:rPr>
          <w:i/>
          <w:color w:val="000000"/>
          <w:vertAlign w:val="subscript"/>
        </w:rPr>
        <w:t>ki</w:t>
      </w:r>
      <w:r w:rsidRPr="004B2EAC">
        <w:rPr>
          <w:color w:val="000000"/>
        </w:rPr>
        <w:t>+X</w:t>
      </w:r>
      <w:r w:rsidRPr="004B2EAC">
        <w:rPr>
          <w:i/>
          <w:color w:val="000000"/>
          <w:vertAlign w:val="subscript"/>
        </w:rPr>
        <w:t>kit</w:t>
      </w:r>
      <w:r w:rsidRPr="004B2EAC">
        <w:rPr>
          <w:rFonts w:ascii="Symbol" w:hAnsi="Symbol"/>
          <w:color w:val="000000"/>
        </w:rPr>
        <w:t></w:t>
      </w:r>
      <w:r w:rsidRPr="004B2EAC">
        <w:rPr>
          <w:i/>
          <w:color w:val="000000"/>
          <w:vertAlign w:val="subscript"/>
        </w:rPr>
        <w:t>1</w:t>
      </w:r>
      <w:r w:rsidRPr="004B2EAC">
        <w:rPr>
          <w:color w:val="000000"/>
        </w:rPr>
        <w:t>+</w:t>
      </w:r>
      <w:r w:rsidRPr="009728A7">
        <w:rPr>
          <w:b/>
          <w:color w:val="000000"/>
        </w:rPr>
        <w:t>W</w:t>
      </w:r>
      <w:r w:rsidRPr="004B2EAC">
        <w:rPr>
          <w:i/>
          <w:color w:val="000000"/>
          <w:vertAlign w:val="subscript"/>
        </w:rPr>
        <w:t>kit</w:t>
      </w:r>
      <w:r w:rsidRPr="009728A7">
        <w:rPr>
          <w:rFonts w:ascii="Symbol" w:hAnsi="Symbol"/>
          <w:b/>
          <w:color w:val="000000"/>
        </w:rPr>
        <w:t></w:t>
      </w:r>
      <w:r w:rsidRPr="004B2EAC">
        <w:rPr>
          <w:i/>
          <w:color w:val="000000"/>
          <w:vertAlign w:val="subscript"/>
        </w:rPr>
        <w:t>2</w:t>
      </w:r>
      <w:r w:rsidRPr="004B2EAC">
        <w:rPr>
          <w:color w:val="000000"/>
        </w:rPr>
        <w:t>+</w:t>
      </w:r>
      <w:r w:rsidRPr="009728A7">
        <w:rPr>
          <w:b/>
          <w:color w:val="000000"/>
        </w:rPr>
        <w:t>R</w:t>
      </w:r>
      <w:r w:rsidRPr="004B2EAC">
        <w:rPr>
          <w:i/>
          <w:color w:val="000000"/>
          <w:vertAlign w:val="subscript"/>
        </w:rPr>
        <w:t>ki0</w:t>
      </w:r>
      <w:r w:rsidRPr="009728A7">
        <w:rPr>
          <w:rFonts w:ascii="Symbol" w:hAnsi="Symbol"/>
          <w:b/>
          <w:color w:val="000000"/>
        </w:rPr>
        <w:t></w:t>
      </w:r>
      <w:r w:rsidRPr="004B2EAC">
        <w:rPr>
          <w:i/>
          <w:color w:val="000000"/>
          <w:vertAlign w:val="subscript"/>
        </w:rPr>
        <w:t>3</w:t>
      </w:r>
      <w:r w:rsidRPr="004B2EAC">
        <w:rPr>
          <w:color w:val="000000"/>
        </w:rPr>
        <w:t>]</w:t>
      </w:r>
      <w:proofErr w:type="spellStart"/>
      <w:r w:rsidRPr="004B2EAC">
        <w:rPr>
          <w:color w:val="000000"/>
        </w:rPr>
        <w:t>v</w:t>
      </w:r>
      <w:r w:rsidRPr="004B2EAC">
        <w:rPr>
          <w:i/>
          <w:color w:val="000000"/>
          <w:vertAlign w:val="subscript"/>
        </w:rPr>
        <w:t>kit</w:t>
      </w:r>
      <w:proofErr w:type="spellEnd"/>
      <w:r w:rsidRPr="004B2EAC">
        <w:rPr>
          <w:i/>
          <w:color w:val="000000"/>
          <w:vertAlign w:val="subscript"/>
        </w:rPr>
        <w:t xml:space="preserve"> </w:t>
      </w:r>
      <w:r w:rsidRPr="004B2EAC">
        <w:rPr>
          <w:color w:val="000000"/>
        </w:rPr>
        <w:t>+(</w:t>
      </w:r>
      <w:proofErr w:type="spellStart"/>
      <w:r w:rsidRPr="009728A7">
        <w:rPr>
          <w:b/>
          <w:color w:val="000000"/>
        </w:rPr>
        <w:t>U</w:t>
      </w:r>
      <w:r w:rsidRPr="004B2EAC">
        <w:rPr>
          <w:i/>
          <w:color w:val="000000"/>
          <w:vertAlign w:val="subscript"/>
        </w:rPr>
        <w:t>kit</w:t>
      </w:r>
      <w:proofErr w:type="spellEnd"/>
      <w:r w:rsidRPr="009728A7">
        <w:rPr>
          <w:rFonts w:ascii="Symbol" w:hAnsi="Symbol"/>
          <w:b/>
          <w:color w:val="000000"/>
        </w:rPr>
        <w:t></w:t>
      </w:r>
      <w:r w:rsidRPr="004B2EAC">
        <w:rPr>
          <w:rFonts w:ascii="Symbol" w:hAnsi="Symbol"/>
          <w:color w:val="000000"/>
        </w:rPr>
        <w:t></w:t>
      </w:r>
      <w:r w:rsidRPr="004B2EAC">
        <w:rPr>
          <w:color w:val="000000"/>
        </w:rPr>
        <w:t>+</w:t>
      </w:r>
      <w:r w:rsidRPr="004B2EAC">
        <w:rPr>
          <w:rFonts w:ascii="Symbol" w:hAnsi="Symbol"/>
          <w:color w:val="000000"/>
        </w:rPr>
        <w:t></w:t>
      </w:r>
      <w:r w:rsidRPr="004B2EAC">
        <w:rPr>
          <w:i/>
          <w:color w:val="000000"/>
          <w:vertAlign w:val="subscript"/>
        </w:rPr>
        <w:t>kit</w:t>
      </w:r>
    </w:p>
    <w:p w:rsidR="00882468" w:rsidRPr="004B2EAC" w:rsidRDefault="00882468" w:rsidP="00882468">
      <w:pPr>
        <w:spacing w:line="480" w:lineRule="auto"/>
        <w:rPr>
          <w:color w:val="000000"/>
        </w:rPr>
      </w:pPr>
    </w:p>
    <w:p w:rsidR="00882468" w:rsidRPr="004B2EAC" w:rsidRDefault="00882468" w:rsidP="00882468">
      <w:pPr>
        <w:spacing w:line="480" w:lineRule="auto"/>
        <w:ind w:firstLine="360"/>
        <w:rPr>
          <w:color w:val="000000"/>
        </w:rPr>
      </w:pPr>
      <w:r w:rsidRPr="004B2EAC">
        <w:rPr>
          <w:color w:val="000000"/>
        </w:rPr>
        <w:t xml:space="preserve">Where for each person </w:t>
      </w:r>
      <w:proofErr w:type="spellStart"/>
      <w:r w:rsidRPr="004B2EAC">
        <w:rPr>
          <w:i/>
          <w:color w:val="000000"/>
        </w:rPr>
        <w:t>i</w:t>
      </w:r>
      <w:proofErr w:type="spellEnd"/>
      <w:r w:rsidRPr="004B2EAC">
        <w:rPr>
          <w:color w:val="000000"/>
        </w:rPr>
        <w:t xml:space="preserve"> and MESA area </w:t>
      </w:r>
      <w:r w:rsidRPr="004B2EAC">
        <w:rPr>
          <w:i/>
          <w:color w:val="000000"/>
        </w:rPr>
        <w:t>k</w:t>
      </w:r>
      <w:r w:rsidRPr="004B2EAC">
        <w:rPr>
          <w:color w:val="000000"/>
        </w:rPr>
        <w:t xml:space="preserve"> at </w:t>
      </w:r>
      <w:proofErr w:type="spellStart"/>
      <w:r w:rsidRPr="004B2EAC">
        <w:rPr>
          <w:i/>
          <w:color w:val="000000"/>
        </w:rPr>
        <w:t>t</w:t>
      </w:r>
      <w:r w:rsidRPr="004B2EAC">
        <w:rPr>
          <w:color w:val="000000"/>
          <w:vertAlign w:val="superscript"/>
        </w:rPr>
        <w:t>th</w:t>
      </w:r>
      <w:proofErr w:type="spellEnd"/>
      <w:r w:rsidRPr="004B2EAC">
        <w:rPr>
          <w:color w:val="000000"/>
        </w:rPr>
        <w:t xml:space="preserve"> follow-up </w:t>
      </w:r>
      <w:proofErr w:type="gramStart"/>
      <w:r w:rsidRPr="004B2EAC">
        <w:rPr>
          <w:color w:val="000000"/>
        </w:rPr>
        <w:t>visit :</w:t>
      </w:r>
      <w:proofErr w:type="gramEnd"/>
    </w:p>
    <w:p w:rsidR="00882468" w:rsidRPr="004B2EAC" w:rsidRDefault="00882468" w:rsidP="00882468">
      <w:pPr>
        <w:spacing w:line="480" w:lineRule="auto"/>
        <w:ind w:left="360"/>
        <w:rPr>
          <w:color w:val="000000"/>
        </w:rPr>
      </w:pPr>
      <w:proofErr w:type="spellStart"/>
      <w:r w:rsidRPr="004B2EAC">
        <w:rPr>
          <w:color w:val="000000"/>
        </w:rPr>
        <w:t>Y</w:t>
      </w:r>
      <w:r w:rsidRPr="004B2EAC">
        <w:rPr>
          <w:i/>
          <w:color w:val="000000"/>
          <w:vertAlign w:val="subscript"/>
        </w:rPr>
        <w:t>kit</w:t>
      </w:r>
      <w:proofErr w:type="spellEnd"/>
      <w:r w:rsidRPr="004B2EAC">
        <w:rPr>
          <w:color w:val="000000"/>
        </w:rPr>
        <w:t xml:space="preserve"> = measured IMT </w:t>
      </w:r>
    </w:p>
    <w:p w:rsidR="00882468" w:rsidRPr="004B2EAC" w:rsidRDefault="00882468" w:rsidP="00882468">
      <w:pPr>
        <w:spacing w:line="480" w:lineRule="auto"/>
        <w:ind w:left="360"/>
        <w:rPr>
          <w:color w:val="000000"/>
        </w:rPr>
      </w:pPr>
      <w:proofErr w:type="spellStart"/>
      <w:r w:rsidRPr="004B2EAC">
        <w:rPr>
          <w:color w:val="000000"/>
        </w:rPr>
        <w:t>X</w:t>
      </w:r>
      <w:r w:rsidRPr="004B2EAC">
        <w:rPr>
          <w:i/>
          <w:color w:val="000000"/>
          <w:vertAlign w:val="subscript"/>
        </w:rPr>
        <w:t>kio</w:t>
      </w:r>
      <w:proofErr w:type="spellEnd"/>
      <w:r w:rsidRPr="004B2EAC">
        <w:rPr>
          <w:color w:val="000000"/>
        </w:rPr>
        <w:t xml:space="preserve"> = average concentration in the year prior to baseline</w:t>
      </w:r>
    </w:p>
    <w:p w:rsidR="00882468" w:rsidRPr="004B2EAC" w:rsidRDefault="00882468" w:rsidP="00882468">
      <w:pPr>
        <w:spacing w:line="480" w:lineRule="auto"/>
        <w:ind w:left="360"/>
        <w:rPr>
          <w:color w:val="000000"/>
        </w:rPr>
      </w:pPr>
      <w:proofErr w:type="spellStart"/>
      <w:r w:rsidRPr="004B2EAC">
        <w:rPr>
          <w:color w:val="000000"/>
        </w:rPr>
        <w:t>X</w:t>
      </w:r>
      <w:r w:rsidRPr="004B2EAC">
        <w:rPr>
          <w:i/>
          <w:color w:val="000000"/>
          <w:vertAlign w:val="subscript"/>
        </w:rPr>
        <w:t>kit</w:t>
      </w:r>
      <w:proofErr w:type="spellEnd"/>
      <w:r w:rsidRPr="004B2EAC">
        <w:rPr>
          <w:color w:val="000000"/>
        </w:rPr>
        <w:t xml:space="preserve"> = multi-annual average concentration between exam </w:t>
      </w:r>
      <w:r w:rsidRPr="004B2EAC">
        <w:rPr>
          <w:i/>
          <w:color w:val="000000"/>
        </w:rPr>
        <w:t>t</w:t>
      </w:r>
      <w:r w:rsidRPr="004B2EAC">
        <w:rPr>
          <w:color w:val="000000"/>
        </w:rPr>
        <w:t xml:space="preserve"> and baseline</w:t>
      </w:r>
    </w:p>
    <w:p w:rsidR="00882468" w:rsidRPr="004B2EAC" w:rsidRDefault="00882468" w:rsidP="00882468">
      <w:pPr>
        <w:spacing w:line="480" w:lineRule="auto"/>
        <w:ind w:left="360"/>
        <w:rPr>
          <w:color w:val="000000"/>
        </w:rPr>
      </w:pPr>
      <w:proofErr w:type="spellStart"/>
      <w:r w:rsidRPr="004B2EAC">
        <w:rPr>
          <w:color w:val="000000"/>
        </w:rPr>
        <w:t>Z</w:t>
      </w:r>
      <w:r w:rsidRPr="004B2EAC">
        <w:rPr>
          <w:i/>
          <w:color w:val="000000"/>
          <w:vertAlign w:val="subscript"/>
        </w:rPr>
        <w:t>kio</w:t>
      </w:r>
      <w:proofErr w:type="spellEnd"/>
      <w:r w:rsidRPr="004B2EAC">
        <w:rPr>
          <w:i/>
          <w:color w:val="000000"/>
          <w:vertAlign w:val="subscript"/>
        </w:rPr>
        <w:t xml:space="preserve">, </w:t>
      </w:r>
      <w:proofErr w:type="spellStart"/>
      <w:r w:rsidRPr="004B2EAC">
        <w:rPr>
          <w:i/>
          <w:color w:val="000000"/>
        </w:rPr>
        <w:t>U</w:t>
      </w:r>
      <w:r w:rsidRPr="004B2EAC">
        <w:rPr>
          <w:i/>
          <w:color w:val="000000"/>
          <w:vertAlign w:val="subscript"/>
        </w:rPr>
        <w:t>kit</w:t>
      </w:r>
      <w:proofErr w:type="spellEnd"/>
      <w:r w:rsidRPr="004B2EAC">
        <w:rPr>
          <w:color w:val="000000"/>
        </w:rPr>
        <w:t xml:space="preserve"> = vectors of covariates related to </w:t>
      </w:r>
      <w:r>
        <w:rPr>
          <w:color w:val="000000"/>
        </w:rPr>
        <w:t xml:space="preserve">baseline </w:t>
      </w:r>
      <w:r w:rsidRPr="004B2EAC">
        <w:rPr>
          <w:color w:val="000000"/>
        </w:rPr>
        <w:t xml:space="preserve">IMT </w:t>
      </w:r>
    </w:p>
    <w:p w:rsidR="00882468" w:rsidRPr="004B2EAC" w:rsidRDefault="00882468" w:rsidP="00882468">
      <w:pPr>
        <w:spacing w:line="480" w:lineRule="auto"/>
        <w:ind w:left="1080" w:hanging="720"/>
        <w:rPr>
          <w:color w:val="000000"/>
        </w:rPr>
      </w:pPr>
      <w:proofErr w:type="spellStart"/>
      <w:r w:rsidRPr="004B2EAC">
        <w:rPr>
          <w:color w:val="000000"/>
        </w:rPr>
        <w:t>W</w:t>
      </w:r>
      <w:r w:rsidRPr="004B2EAC">
        <w:rPr>
          <w:i/>
          <w:color w:val="000000"/>
          <w:vertAlign w:val="subscript"/>
        </w:rPr>
        <w:t>kit</w:t>
      </w:r>
      <w:proofErr w:type="spellEnd"/>
      <w:r w:rsidRPr="004B2EAC">
        <w:rPr>
          <w:color w:val="000000"/>
        </w:rPr>
        <w:t xml:space="preserve">, </w:t>
      </w:r>
      <w:proofErr w:type="spellStart"/>
      <w:r w:rsidRPr="004B2EAC">
        <w:rPr>
          <w:color w:val="000000"/>
        </w:rPr>
        <w:t>R</w:t>
      </w:r>
      <w:r w:rsidRPr="004B2EAC">
        <w:rPr>
          <w:i/>
          <w:color w:val="000000"/>
          <w:vertAlign w:val="subscript"/>
        </w:rPr>
        <w:t>kio</w:t>
      </w:r>
      <w:proofErr w:type="spellEnd"/>
      <w:r w:rsidRPr="004B2EAC">
        <w:rPr>
          <w:color w:val="000000"/>
        </w:rPr>
        <w:t>= vectors of covariates related to IMT progression</w:t>
      </w:r>
    </w:p>
    <w:p w:rsidR="00882468" w:rsidRPr="004B2EAC" w:rsidRDefault="00882468" w:rsidP="00882468">
      <w:pPr>
        <w:spacing w:line="480" w:lineRule="auto"/>
        <w:ind w:left="1080" w:hanging="720"/>
        <w:rPr>
          <w:color w:val="000000"/>
        </w:rPr>
      </w:pPr>
      <w:proofErr w:type="spellStart"/>
      <w:proofErr w:type="gramStart"/>
      <w:r w:rsidRPr="004B2EAC">
        <w:rPr>
          <w:color w:val="000000"/>
        </w:rPr>
        <w:t>v</w:t>
      </w:r>
      <w:r w:rsidRPr="004B2EAC">
        <w:rPr>
          <w:i/>
          <w:color w:val="000000"/>
          <w:vertAlign w:val="subscript"/>
        </w:rPr>
        <w:t>kit</w:t>
      </w:r>
      <w:proofErr w:type="spellEnd"/>
      <w:proofErr w:type="gramEnd"/>
      <w:r w:rsidRPr="004B2EAC">
        <w:rPr>
          <w:i/>
          <w:color w:val="000000"/>
          <w:vertAlign w:val="subscript"/>
        </w:rPr>
        <w:t xml:space="preserve"> </w:t>
      </w:r>
      <w:r w:rsidRPr="004B2EAC">
        <w:rPr>
          <w:color w:val="000000"/>
        </w:rPr>
        <w:t xml:space="preserve">= time between the baseline and </w:t>
      </w:r>
      <w:proofErr w:type="spellStart"/>
      <w:r w:rsidRPr="004B2EAC">
        <w:rPr>
          <w:color w:val="000000"/>
        </w:rPr>
        <w:t>t</w:t>
      </w:r>
      <w:r w:rsidRPr="004B2EAC">
        <w:rPr>
          <w:color w:val="000000"/>
          <w:vertAlign w:val="superscript"/>
        </w:rPr>
        <w:t>th</w:t>
      </w:r>
      <w:proofErr w:type="spellEnd"/>
      <w:r w:rsidRPr="004B2EAC">
        <w:rPr>
          <w:color w:val="000000"/>
        </w:rPr>
        <w:t xml:space="preserve"> follow-up visit</w:t>
      </w:r>
    </w:p>
    <w:p w:rsidR="00882468" w:rsidRPr="004B2EAC" w:rsidRDefault="00882468" w:rsidP="00882468">
      <w:pPr>
        <w:spacing w:line="480" w:lineRule="auto"/>
        <w:ind w:left="360"/>
        <w:rPr>
          <w:rFonts w:ascii="Verdana" w:hAnsi="Verdana"/>
          <w:sz w:val="20"/>
        </w:rPr>
      </w:pPr>
      <w:proofErr w:type="spellStart"/>
      <w:proofErr w:type="gramStart"/>
      <w:r w:rsidRPr="004B2EAC">
        <w:rPr>
          <w:rFonts w:ascii="Times" w:hAnsi="Times"/>
        </w:rPr>
        <w:t>a</w:t>
      </w:r>
      <w:r w:rsidRPr="004B2EAC">
        <w:rPr>
          <w:rFonts w:ascii="Times" w:hAnsi="Times"/>
          <w:vertAlign w:val="subscript"/>
        </w:rPr>
        <w:t>k</w:t>
      </w:r>
      <w:r w:rsidRPr="004B2EAC">
        <w:rPr>
          <w:rFonts w:ascii="Verdana" w:hAnsi="Verdana"/>
          <w:sz w:val="20"/>
          <w:szCs w:val="20"/>
          <w:vertAlign w:val="subscript"/>
        </w:rPr>
        <w:t>i</w:t>
      </w:r>
      <w:proofErr w:type="spellEnd"/>
      <w:proofErr w:type="gramEnd"/>
      <w:r w:rsidRPr="004B2EAC">
        <w:rPr>
          <w:rFonts w:ascii="Verdana" w:hAnsi="Verdana"/>
          <w:sz w:val="20"/>
          <w:szCs w:val="20"/>
          <w:vertAlign w:val="subscript"/>
        </w:rPr>
        <w:t xml:space="preserve">, </w:t>
      </w:r>
      <w:proofErr w:type="spellStart"/>
      <w:r w:rsidRPr="004B2EAC">
        <w:rPr>
          <w:rFonts w:ascii="Times" w:hAnsi="Times"/>
        </w:rPr>
        <w:t>b</w:t>
      </w:r>
      <w:r w:rsidRPr="004B2EAC">
        <w:rPr>
          <w:rFonts w:ascii="Times" w:hAnsi="Times"/>
          <w:vertAlign w:val="subscript"/>
        </w:rPr>
        <w:t>k</w:t>
      </w:r>
      <w:r w:rsidRPr="004B2EAC">
        <w:rPr>
          <w:rFonts w:ascii="Verdana" w:hAnsi="Verdana"/>
          <w:sz w:val="20"/>
          <w:szCs w:val="20"/>
          <w:vertAlign w:val="subscript"/>
        </w:rPr>
        <w:t>i</w:t>
      </w:r>
      <w:proofErr w:type="spellEnd"/>
      <w:r w:rsidRPr="004B2EAC">
        <w:rPr>
          <w:rFonts w:ascii="Verdana" w:hAnsi="Verdana"/>
          <w:sz w:val="20"/>
          <w:szCs w:val="20"/>
        </w:rPr>
        <w:t xml:space="preserve"> =</w:t>
      </w:r>
      <w:r w:rsidRPr="004B2EAC">
        <w:t xml:space="preserve"> subject-specific random effects for </w:t>
      </w:r>
      <w:r>
        <w:t xml:space="preserve">baseline </w:t>
      </w:r>
      <w:r w:rsidRPr="004B2EAC">
        <w:t>IMT and IMT progression</w:t>
      </w:r>
    </w:p>
    <w:p w:rsidR="00882468" w:rsidRPr="004B2EAC" w:rsidRDefault="00882468" w:rsidP="00882468">
      <w:pPr>
        <w:spacing w:line="480" w:lineRule="auto"/>
        <w:ind w:firstLine="360"/>
        <w:rPr>
          <w:color w:val="000000"/>
        </w:rPr>
      </w:pPr>
      <w:r w:rsidRPr="004B2EAC">
        <w:rPr>
          <w:rFonts w:ascii="Symbol" w:hAnsi="Symbol"/>
          <w:color w:val="000000"/>
        </w:rPr>
        <w:t></w:t>
      </w:r>
      <w:r w:rsidRPr="004B2EAC">
        <w:rPr>
          <w:i/>
          <w:color w:val="000000"/>
          <w:vertAlign w:val="subscript"/>
        </w:rPr>
        <w:t>ki</w:t>
      </w:r>
      <w:r>
        <w:rPr>
          <w:i/>
          <w:color w:val="000000"/>
          <w:vertAlign w:val="subscript"/>
        </w:rPr>
        <w:t>t</w:t>
      </w:r>
      <w:r w:rsidRPr="004B2EAC">
        <w:rPr>
          <w:color w:val="000000"/>
        </w:rPr>
        <w:t xml:space="preserve"> = measurement error associated with </w:t>
      </w:r>
      <w:proofErr w:type="spellStart"/>
      <w:r w:rsidRPr="004B2EAC">
        <w:rPr>
          <w:color w:val="000000"/>
        </w:rPr>
        <w:t>Y</w:t>
      </w:r>
      <w:r w:rsidRPr="004B2EAC">
        <w:rPr>
          <w:i/>
          <w:color w:val="000000"/>
          <w:vertAlign w:val="subscript"/>
        </w:rPr>
        <w:t>kit</w:t>
      </w:r>
      <w:proofErr w:type="spellEnd"/>
    </w:p>
    <w:p w:rsidR="00882468" w:rsidRPr="004B2EAC" w:rsidRDefault="00882468" w:rsidP="00882468">
      <w:pPr>
        <w:spacing w:line="480" w:lineRule="auto"/>
        <w:rPr>
          <w:color w:val="000000"/>
        </w:rPr>
      </w:pPr>
    </w:p>
    <w:p w:rsidR="00882468" w:rsidRDefault="00882468" w:rsidP="00882468">
      <w:pPr>
        <w:spacing w:line="480" w:lineRule="auto"/>
        <w:rPr>
          <w:color w:val="000000"/>
        </w:rPr>
      </w:pPr>
      <w:r w:rsidRPr="004B2EAC">
        <w:rPr>
          <w:color w:val="000000"/>
        </w:rPr>
        <w:t>This model captures different parameterizations of the PM</w:t>
      </w:r>
      <w:r w:rsidRPr="004B2EAC">
        <w:rPr>
          <w:color w:val="000000"/>
          <w:vertAlign w:val="subscript"/>
        </w:rPr>
        <w:t>2.5</w:t>
      </w:r>
      <w:r w:rsidRPr="004B2EAC">
        <w:rPr>
          <w:color w:val="000000"/>
        </w:rPr>
        <w:t>-IMT relation.  First, X</w:t>
      </w:r>
      <w:r w:rsidRPr="004B2EAC">
        <w:rPr>
          <w:i/>
          <w:color w:val="000000"/>
          <w:vertAlign w:val="subscript"/>
        </w:rPr>
        <w:t>ki0</w:t>
      </w:r>
      <w:r w:rsidRPr="004B2EAC">
        <w:rPr>
          <w:rFonts w:ascii="Symbol" w:hAnsi="Symbol"/>
          <w:color w:val="000000"/>
        </w:rPr>
        <w:t></w:t>
      </w:r>
      <w:r w:rsidRPr="004B2EAC">
        <w:rPr>
          <w:i/>
          <w:color w:val="000000"/>
          <w:vertAlign w:val="subscript"/>
        </w:rPr>
        <w:t>1</w:t>
      </w:r>
      <w:r w:rsidRPr="004B2EAC">
        <w:rPr>
          <w:color w:val="000000"/>
        </w:rPr>
        <w:t xml:space="preserve"> characterizes the cross-sectional association between PM</w:t>
      </w:r>
      <w:r w:rsidRPr="004B2EAC">
        <w:rPr>
          <w:color w:val="000000"/>
          <w:vertAlign w:val="subscript"/>
        </w:rPr>
        <w:t>2.5</w:t>
      </w:r>
      <w:r w:rsidRPr="004B2EAC">
        <w:rPr>
          <w:color w:val="000000"/>
        </w:rPr>
        <w:t xml:space="preserve"> levels preceding the baseline exam and </w:t>
      </w:r>
      <w:r>
        <w:rPr>
          <w:color w:val="000000"/>
        </w:rPr>
        <w:t xml:space="preserve">baseline </w:t>
      </w:r>
      <w:r w:rsidRPr="004B2EAC">
        <w:rPr>
          <w:color w:val="000000"/>
        </w:rPr>
        <w:t xml:space="preserve">IMT. </w:t>
      </w:r>
      <w:proofErr w:type="spellStart"/>
      <w:r w:rsidRPr="004B2EAC">
        <w:rPr>
          <w:color w:val="000000"/>
        </w:rPr>
        <w:t>X</w:t>
      </w:r>
      <w:r w:rsidRPr="004B2EAC">
        <w:rPr>
          <w:i/>
          <w:color w:val="000000"/>
          <w:vertAlign w:val="subscript"/>
        </w:rPr>
        <w:t>kit</w:t>
      </w:r>
      <w:r w:rsidRPr="004B2EAC">
        <w:rPr>
          <w:rFonts w:ascii="Symbol" w:hAnsi="Symbol"/>
          <w:color w:val="000000"/>
        </w:rPr>
        <w:t></w:t>
      </w:r>
      <w:r w:rsidRPr="004B2EAC">
        <w:rPr>
          <w:i/>
          <w:color w:val="000000"/>
          <w:vertAlign w:val="subscript"/>
        </w:rPr>
        <w:t>kit</w:t>
      </w:r>
      <w:proofErr w:type="spellEnd"/>
      <w:r w:rsidRPr="004B2EAC">
        <w:rPr>
          <w:rFonts w:ascii="Symbol" w:hAnsi="Symbol"/>
          <w:color w:val="000000"/>
        </w:rPr>
        <w:t></w:t>
      </w:r>
      <w:r w:rsidRPr="004B2EAC">
        <w:rPr>
          <w:rFonts w:ascii="Symbol" w:hAnsi="Symbol"/>
          <w:color w:val="000000"/>
        </w:rPr>
        <w:t></w:t>
      </w:r>
      <w:r w:rsidRPr="004B2EAC">
        <w:rPr>
          <w:i/>
          <w:color w:val="000000"/>
          <w:vertAlign w:val="subscript"/>
        </w:rPr>
        <w:t xml:space="preserve">1 </w:t>
      </w:r>
      <w:r w:rsidRPr="004B2EAC">
        <w:rPr>
          <w:color w:val="000000"/>
        </w:rPr>
        <w:t xml:space="preserve">characterizes IMT progression as a function of the average </w:t>
      </w:r>
      <w:r w:rsidRPr="004B2EAC">
        <w:rPr>
          <w:color w:val="000000"/>
        </w:rPr>
        <w:lastRenderedPageBreak/>
        <w:t>concentration over follow-up.  In secondary analyses, we decomposed the average concentration during follow-up into baseline concentrations (X</w:t>
      </w:r>
      <w:r w:rsidRPr="004B2EAC">
        <w:rPr>
          <w:i/>
          <w:color w:val="000000"/>
          <w:vertAlign w:val="subscript"/>
        </w:rPr>
        <w:t>kio</w:t>
      </w:r>
      <w:r w:rsidRPr="004B2EAC">
        <w:rPr>
          <w:color w:val="000000"/>
        </w:rPr>
        <w:t>v</w:t>
      </w:r>
      <w:r w:rsidRPr="004B2EAC">
        <w:rPr>
          <w:i/>
          <w:color w:val="000000"/>
          <w:vertAlign w:val="subscript"/>
        </w:rPr>
        <w:t>kit</w:t>
      </w:r>
      <w:r w:rsidRPr="004B2EAC">
        <w:rPr>
          <w:rFonts w:ascii="Symbol" w:hAnsi="Symbol"/>
          <w:color w:val="000000"/>
        </w:rPr>
        <w:t></w:t>
      </w:r>
      <w:r w:rsidRPr="004B2EAC">
        <w:rPr>
          <w:i/>
          <w:color w:val="000000"/>
          <w:vertAlign w:val="subscript"/>
        </w:rPr>
        <w:t>1’</w:t>
      </w:r>
      <w:r w:rsidRPr="004B2EAC">
        <w:rPr>
          <w:color w:val="000000"/>
        </w:rPr>
        <w:t>) and the change in concentrations over follow-up ((</w:t>
      </w:r>
      <w:proofErr w:type="spellStart"/>
      <w:r w:rsidRPr="004B2EAC">
        <w:rPr>
          <w:color w:val="000000"/>
        </w:rPr>
        <w:t>X</w:t>
      </w:r>
      <w:r w:rsidRPr="004B2EAC">
        <w:rPr>
          <w:i/>
          <w:color w:val="000000"/>
          <w:vertAlign w:val="subscript"/>
        </w:rPr>
        <w:t>kit</w:t>
      </w:r>
      <w:r w:rsidRPr="004B2EAC">
        <w:rPr>
          <w:i/>
          <w:color w:val="000000"/>
        </w:rPr>
        <w:t>-</w:t>
      </w:r>
      <w:r w:rsidRPr="004B2EAC">
        <w:rPr>
          <w:color w:val="000000"/>
        </w:rPr>
        <w:t>X</w:t>
      </w:r>
      <w:r w:rsidRPr="004B2EAC">
        <w:rPr>
          <w:i/>
          <w:color w:val="000000"/>
          <w:vertAlign w:val="subscript"/>
        </w:rPr>
        <w:t>kio</w:t>
      </w:r>
      <w:proofErr w:type="spellEnd"/>
      <w:proofErr w:type="gramStart"/>
      <w:r w:rsidRPr="004B2EAC">
        <w:rPr>
          <w:i/>
          <w:color w:val="000000"/>
        </w:rPr>
        <w:t>)</w:t>
      </w:r>
      <w:proofErr w:type="spellStart"/>
      <w:r w:rsidRPr="004B2EAC">
        <w:rPr>
          <w:color w:val="000000"/>
        </w:rPr>
        <w:t>v</w:t>
      </w:r>
      <w:r w:rsidRPr="004B2EAC">
        <w:rPr>
          <w:i/>
          <w:color w:val="000000"/>
          <w:vertAlign w:val="subscript"/>
        </w:rPr>
        <w:t>kit</w:t>
      </w:r>
      <w:proofErr w:type="spellEnd"/>
      <w:proofErr w:type="gramEnd"/>
      <w:r w:rsidRPr="004B2EAC">
        <w:rPr>
          <w:rFonts w:ascii="Symbol" w:hAnsi="Symbol"/>
          <w:color w:val="000000"/>
        </w:rPr>
        <w:t></w:t>
      </w:r>
      <w:r w:rsidRPr="004B2EAC">
        <w:rPr>
          <w:rFonts w:ascii="Symbol" w:hAnsi="Symbol"/>
          <w:color w:val="000000"/>
        </w:rPr>
        <w:t></w:t>
      </w:r>
      <w:r w:rsidRPr="004B2EAC">
        <w:rPr>
          <w:i/>
          <w:color w:val="000000"/>
          <w:vertAlign w:val="subscript"/>
        </w:rPr>
        <w:t>1’’</w:t>
      </w:r>
      <w:r w:rsidRPr="004B2EAC">
        <w:rPr>
          <w:color w:val="000000"/>
        </w:rPr>
        <w:t>) to independently assess the associations of IMT progression with each of these two distinct exposures.</w:t>
      </w:r>
      <w:r w:rsidRPr="00DC0E07">
        <w:rPr>
          <w:color w:val="000000"/>
        </w:rPr>
        <w:t xml:space="preserve">  </w:t>
      </w:r>
      <w:r>
        <w:rPr>
          <w:color w:val="000000"/>
        </w:rPr>
        <w:t xml:space="preserve">We furthermore explicitly explored the relationship between </w:t>
      </w:r>
      <w:r>
        <w:t>change in IMT over the follow-up period as our outcome and the change in PM</w:t>
      </w:r>
      <w:r w:rsidRPr="00E32AA0">
        <w:rPr>
          <w:vertAlign w:val="subscript"/>
        </w:rPr>
        <w:t>2.5</w:t>
      </w:r>
      <w:r>
        <w:t xml:space="preserve"> concentrations over time, controlling for time and other risk factors for change</w:t>
      </w:r>
      <w:r>
        <w:rPr>
          <w:color w:val="000000"/>
        </w:rPr>
        <w:t>.</w:t>
      </w:r>
    </w:p>
    <w:p w:rsidR="00882468" w:rsidRDefault="00882468" w:rsidP="00882468">
      <w:pPr>
        <w:spacing w:line="480" w:lineRule="auto"/>
        <w:rPr>
          <w:lang w:eastAsia="en-US"/>
        </w:rPr>
      </w:pPr>
    </w:p>
    <w:p w:rsidR="00882468" w:rsidRPr="009728A7" w:rsidRDefault="00882468" w:rsidP="00882468">
      <w:pPr>
        <w:pStyle w:val="ListParagraph"/>
        <w:spacing w:line="480" w:lineRule="auto"/>
        <w:ind w:left="0"/>
        <w:rPr>
          <w:bCs/>
        </w:rPr>
      </w:pPr>
      <w:r>
        <w:t>Although s</w:t>
      </w:r>
      <w:r w:rsidRPr="00E97907">
        <w:t>imilar distributions were observed for the average concentrations between follow-up exams and at baseline (</w:t>
      </w:r>
      <w:proofErr w:type="spellStart"/>
      <w:proofErr w:type="gramStart"/>
      <w:r w:rsidRPr="00E97907">
        <w:t>cor</w:t>
      </w:r>
      <w:proofErr w:type="spellEnd"/>
      <w:r w:rsidRPr="00E97907">
        <w:t>(</w:t>
      </w:r>
      <w:proofErr w:type="gramEnd"/>
      <w:r w:rsidRPr="00E97907">
        <w:t>X</w:t>
      </w:r>
      <w:r w:rsidRPr="00E97907">
        <w:rPr>
          <w:i/>
          <w:vertAlign w:val="subscript"/>
        </w:rPr>
        <w:t>ki0</w:t>
      </w:r>
      <w:r w:rsidRPr="00E97907">
        <w:t xml:space="preserve">, </w:t>
      </w:r>
      <w:proofErr w:type="spellStart"/>
      <w:r w:rsidRPr="00E97907">
        <w:t>X</w:t>
      </w:r>
      <w:r w:rsidRPr="00E97907">
        <w:rPr>
          <w:i/>
          <w:vertAlign w:val="subscript"/>
        </w:rPr>
        <w:t>kit</w:t>
      </w:r>
      <w:proofErr w:type="spellEnd"/>
      <w:r w:rsidRPr="00E97907">
        <w:t xml:space="preserve">) = 0.99 for between area contrasts; </w:t>
      </w:r>
      <w:proofErr w:type="spellStart"/>
      <w:r w:rsidRPr="00E97907">
        <w:t>cor</w:t>
      </w:r>
      <w:proofErr w:type="spellEnd"/>
      <w:r w:rsidRPr="00E97907">
        <w:t>(X</w:t>
      </w:r>
      <w:r w:rsidRPr="00E97907">
        <w:rPr>
          <w:i/>
          <w:vertAlign w:val="subscript"/>
        </w:rPr>
        <w:t>ki0</w:t>
      </w:r>
      <w:r w:rsidRPr="00E97907">
        <w:t xml:space="preserve">, </w:t>
      </w:r>
      <w:proofErr w:type="spellStart"/>
      <w:r w:rsidRPr="00E97907">
        <w:t>X</w:t>
      </w:r>
      <w:r w:rsidRPr="00E97907">
        <w:rPr>
          <w:i/>
          <w:vertAlign w:val="subscript"/>
        </w:rPr>
        <w:t>kit</w:t>
      </w:r>
      <w:proofErr w:type="spellEnd"/>
      <w:r w:rsidRPr="00E97907">
        <w:t>) = 0.60 for within-area contrasts</w:t>
      </w:r>
      <w:r>
        <w:t xml:space="preserve">), the correlation between </w:t>
      </w:r>
      <w:proofErr w:type="spellStart"/>
      <w:r w:rsidRPr="00E97907">
        <w:t>X</w:t>
      </w:r>
      <w:r w:rsidRPr="00E97907">
        <w:rPr>
          <w:vertAlign w:val="subscript"/>
        </w:rPr>
        <w:t>kio</w:t>
      </w:r>
      <w:proofErr w:type="spellEnd"/>
      <w:r w:rsidRPr="00E97907">
        <w:t xml:space="preserve"> and </w:t>
      </w:r>
      <w:proofErr w:type="spellStart"/>
      <w:r w:rsidRPr="00E97907">
        <w:t>X</w:t>
      </w:r>
      <w:r w:rsidRPr="00E97907">
        <w:rPr>
          <w:vertAlign w:val="subscript"/>
        </w:rPr>
        <w:t>kit</w:t>
      </w:r>
      <w:proofErr w:type="spellEnd"/>
      <w:r w:rsidRPr="00E97907">
        <w:t>*</w:t>
      </w:r>
      <w:proofErr w:type="spellStart"/>
      <w:r w:rsidRPr="00E97907">
        <w:t>v</w:t>
      </w:r>
      <w:r w:rsidRPr="00E97907">
        <w:rPr>
          <w:vertAlign w:val="subscript"/>
        </w:rPr>
        <w:t>kit</w:t>
      </w:r>
      <w:proofErr w:type="spellEnd"/>
      <w:r>
        <w:rPr>
          <w:vertAlign w:val="subscript"/>
        </w:rPr>
        <w:t xml:space="preserve"> </w:t>
      </w:r>
      <w:r>
        <w:t>that were</w:t>
      </w:r>
      <w:r w:rsidRPr="00E97907">
        <w:t xml:space="preserve"> used in the model were substantially lower.</w:t>
      </w:r>
      <w:r>
        <w:t xml:space="preserve">  </w:t>
      </w:r>
      <w:r w:rsidRPr="009728A7">
        <w:t xml:space="preserve"> Standard model diagnostics were </w:t>
      </w:r>
      <w:r>
        <w:t xml:space="preserve">also </w:t>
      </w:r>
      <w:r w:rsidRPr="009728A7">
        <w:t xml:space="preserve">explored including graphics of residuals </w:t>
      </w:r>
      <w:r w:rsidRPr="009728A7">
        <w:rPr>
          <w:bCs/>
        </w:rPr>
        <w:t xml:space="preserve">for evidence of </w:t>
      </w:r>
      <w:r>
        <w:rPr>
          <w:bCs/>
        </w:rPr>
        <w:t xml:space="preserve">non-normality, </w:t>
      </w:r>
      <w:r w:rsidRPr="009728A7">
        <w:rPr>
          <w:bCs/>
        </w:rPr>
        <w:t xml:space="preserve">influential outliers, </w:t>
      </w:r>
      <w:r>
        <w:rPr>
          <w:bCs/>
        </w:rPr>
        <w:t xml:space="preserve">and </w:t>
      </w:r>
      <w:r w:rsidRPr="009728A7">
        <w:rPr>
          <w:bCs/>
        </w:rPr>
        <w:t>omitted covariates.</w:t>
      </w:r>
    </w:p>
    <w:p w:rsidR="00882468" w:rsidRDefault="00882468" w:rsidP="00882468">
      <w:pPr>
        <w:pStyle w:val="ListParagraph"/>
        <w:spacing w:line="480" w:lineRule="auto"/>
        <w:ind w:left="0"/>
      </w:pPr>
    </w:p>
    <w:p w:rsidR="00882468" w:rsidRDefault="00882468" w:rsidP="00882468">
      <w:pPr>
        <w:pStyle w:val="ListParagraph"/>
        <w:spacing w:line="480" w:lineRule="auto"/>
        <w:ind w:left="0"/>
        <w:rPr>
          <w:i/>
        </w:rPr>
      </w:pPr>
      <w:r w:rsidRPr="00E56B33">
        <w:rPr>
          <w:i/>
        </w:rPr>
        <w:t xml:space="preserve">Results for Other </w:t>
      </w:r>
      <w:r>
        <w:rPr>
          <w:i/>
        </w:rPr>
        <w:t>Estimates</w:t>
      </w:r>
      <w:r w:rsidRPr="00E56B33">
        <w:rPr>
          <w:i/>
        </w:rPr>
        <w:t xml:space="preserve"> of Pollution</w:t>
      </w:r>
    </w:p>
    <w:p w:rsidR="00882468" w:rsidRDefault="00882468" w:rsidP="00882468">
      <w:pPr>
        <w:autoSpaceDE w:val="0"/>
        <w:autoSpaceDN w:val="0"/>
        <w:adjustRightInd w:val="0"/>
        <w:spacing w:line="480" w:lineRule="auto"/>
      </w:pPr>
      <w:r>
        <w:rPr>
          <w:color w:val="000000"/>
        </w:rPr>
        <w:t>In our primary analyses,</w:t>
      </w:r>
      <w:r w:rsidRPr="004B2EAC">
        <w:rPr>
          <w:color w:val="000000"/>
        </w:rPr>
        <w:t xml:space="preserve"> </w:t>
      </w:r>
      <w:r>
        <w:rPr>
          <w:color w:val="000000"/>
        </w:rPr>
        <w:t xml:space="preserve">individual-level concentrations accounting for residential history </w:t>
      </w:r>
      <w:r w:rsidRPr="004B2EAC">
        <w:rPr>
          <w:color w:val="000000"/>
        </w:rPr>
        <w:t xml:space="preserve">were </w:t>
      </w:r>
      <w:r>
        <w:rPr>
          <w:color w:val="000000"/>
        </w:rPr>
        <w:t>estimated</w:t>
      </w:r>
      <w:r w:rsidRPr="004B2EAC">
        <w:rPr>
          <w:color w:val="000000"/>
        </w:rPr>
        <w:t xml:space="preserve"> for each participant </w:t>
      </w:r>
      <w:r>
        <w:rPr>
          <w:color w:val="000000"/>
        </w:rPr>
        <w:t xml:space="preserve">using a </w:t>
      </w:r>
      <w:proofErr w:type="spellStart"/>
      <w:r>
        <w:rPr>
          <w:color w:val="000000"/>
        </w:rPr>
        <w:t>spatio</w:t>
      </w:r>
      <w:proofErr w:type="spellEnd"/>
      <w:r>
        <w:rPr>
          <w:color w:val="000000"/>
        </w:rPr>
        <w:t>-temporal model</w:t>
      </w:r>
      <w:r w:rsidRPr="004B2EAC">
        <w:rPr>
          <w:color w:val="000000"/>
        </w:rPr>
        <w:t xml:space="preserve">. </w:t>
      </w:r>
      <w:r>
        <w:rPr>
          <w:color w:val="000000"/>
        </w:rPr>
        <w:t>To facilitate comparison to other investigations without access to the extensive monitoring data available through MESA Air, w</w:t>
      </w:r>
      <w:r w:rsidRPr="004B2EAC">
        <w:t xml:space="preserve">e also explored </w:t>
      </w:r>
      <w:r>
        <w:t xml:space="preserve">the </w:t>
      </w:r>
      <w:r w:rsidRPr="004B2EAC">
        <w:t xml:space="preserve">associations </w:t>
      </w:r>
      <w:r>
        <w:t xml:space="preserve">between </w:t>
      </w:r>
      <w:r w:rsidRPr="004B2EAC">
        <w:t xml:space="preserve">IMT </w:t>
      </w:r>
      <w:r>
        <w:t>and</w:t>
      </w:r>
      <w:r w:rsidRPr="004B2EAC">
        <w:t xml:space="preserve"> average concentrations of PM</w:t>
      </w:r>
      <w:r w:rsidRPr="004B2EAC">
        <w:rPr>
          <w:vertAlign w:val="subscript"/>
        </w:rPr>
        <w:t>2.5</w:t>
      </w:r>
      <w:r w:rsidRPr="004B2EAC">
        <w:t xml:space="preserve"> measured at the nearest AQS monitor and with living near a major roadway (i.e., within 100 meters of an interstate or US highway or within 50 meters of a state or county highway as defined by the US Census Feature Class Codes A1, A2, and A3). </w:t>
      </w:r>
      <w:r>
        <w:t xml:space="preserve"> Comparable averaging periods were assumed as in the main analysis.</w:t>
      </w:r>
    </w:p>
    <w:p w:rsidR="00882468" w:rsidRDefault="00882468" w:rsidP="00882468">
      <w:pPr>
        <w:autoSpaceDE w:val="0"/>
        <w:autoSpaceDN w:val="0"/>
        <w:adjustRightInd w:val="0"/>
        <w:spacing w:line="480" w:lineRule="auto"/>
      </w:pPr>
    </w:p>
    <w:p w:rsidR="00882468" w:rsidRDefault="00882468" w:rsidP="00882468">
      <w:pPr>
        <w:pStyle w:val="ListParagraph"/>
        <w:spacing w:line="480" w:lineRule="auto"/>
        <w:ind w:left="0"/>
      </w:pPr>
      <w:r>
        <w:lastRenderedPageBreak/>
        <w:t>Table S1 illustrates qualitatively consistent findings between exposure estimates using the nearest regulatory monitoring data and our modeled concentrations.  While cross-sectional associations with nearest monitor data were more robust to control for study site than associations with modeled PM</w:t>
      </w:r>
      <w:r w:rsidRPr="00E56B33">
        <w:rPr>
          <w:vertAlign w:val="subscript"/>
        </w:rPr>
        <w:t>2.5</w:t>
      </w:r>
      <w:r>
        <w:t xml:space="preserve"> estimates, associations with progression were weaker than with our primary exposure estimates. Living within close proximity to a major roadway was not associated with baseline IMT or IMT progression.</w:t>
      </w:r>
    </w:p>
    <w:p w:rsidR="00882468" w:rsidRDefault="00882468" w:rsidP="00882468">
      <w:pPr>
        <w:pStyle w:val="ListParagraph"/>
        <w:spacing w:line="480" w:lineRule="auto"/>
        <w:ind w:left="0"/>
      </w:pPr>
    </w:p>
    <w:p w:rsidR="00882468" w:rsidRPr="009045C9" w:rsidRDefault="00882468" w:rsidP="00882468">
      <w:pPr>
        <w:spacing w:line="480" w:lineRule="auto"/>
        <w:rPr>
          <w:vertAlign w:val="subscript"/>
        </w:rPr>
      </w:pPr>
      <w:r w:rsidRPr="009045C9">
        <w:t xml:space="preserve">Table S1. Comparison of Mean Differences (95% Confidence Interval) in IMT at Baseline and IMT Progression </w:t>
      </w:r>
      <w:proofErr w:type="gramStart"/>
      <w:r w:rsidRPr="009045C9">
        <w:t>Over</w:t>
      </w:r>
      <w:proofErr w:type="gramEnd"/>
      <w:r w:rsidRPr="009045C9">
        <w:t xml:space="preserve"> Time Associated with Ambient Pollution Estimated Using the MESA Air </w:t>
      </w:r>
      <w:proofErr w:type="spellStart"/>
      <w:r w:rsidRPr="009045C9">
        <w:t>Spatio</w:t>
      </w:r>
      <w:proofErr w:type="spellEnd"/>
      <w:r w:rsidRPr="009045C9">
        <w:t>-Temporal Model, Nearest Regulatory Monitor, and Nearness to a Major Roadway</w:t>
      </w:r>
    </w:p>
    <w:tbl>
      <w:tblPr>
        <w:tblW w:w="9386" w:type="dxa"/>
        <w:tblInd w:w="95" w:type="dxa"/>
        <w:tblLook w:val="04A0" w:firstRow="1" w:lastRow="0" w:firstColumn="1" w:lastColumn="0" w:noHBand="0" w:noVBand="1"/>
      </w:tblPr>
      <w:tblGrid>
        <w:gridCol w:w="5143"/>
        <w:gridCol w:w="2160"/>
        <w:gridCol w:w="2083"/>
      </w:tblGrid>
      <w:tr w:rsidR="00882468" w:rsidRPr="005741C6" w:rsidTr="002445C3">
        <w:trPr>
          <w:trHeight w:val="60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 xml:space="preserve">Overall </w:t>
            </w: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br/>
              <w:t>Associations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Within-City</w:t>
            </w: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br/>
              <w:t>Associations</w:t>
            </w:r>
          </w:p>
        </w:tc>
      </w:tr>
      <w:tr w:rsidR="00882468" w:rsidRPr="005741C6" w:rsidTr="002445C3">
        <w:trPr>
          <w:trHeight w:val="375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Baseline IMT (µm) per 2.5 µg/m</w:t>
            </w: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of Baseline PM</w:t>
            </w: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  <w:lang w:eastAsia="en-US"/>
              </w:rPr>
              <w:t>2.5</w:t>
            </w:r>
          </w:p>
        </w:tc>
      </w:tr>
      <w:tr w:rsidR="00882468" w:rsidRPr="005741C6" w:rsidTr="002445C3">
        <w:trPr>
          <w:trHeight w:val="360"/>
        </w:trPr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Modeled PM</w:t>
            </w: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  <w:lang w:eastAsia="en-US"/>
              </w:rPr>
              <w:t>2.5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6.3 (2.8 to 9.8)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0.4 (-9.1 to 9.9)</w:t>
            </w:r>
          </w:p>
        </w:tc>
      </w:tr>
      <w:tr w:rsidR="00882468" w:rsidRPr="005741C6" w:rsidTr="002445C3">
        <w:trPr>
          <w:trHeight w:val="360"/>
        </w:trPr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Nearest Regulatory PM</w:t>
            </w: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  <w:lang w:eastAsia="en-US"/>
              </w:rPr>
              <w:t>2.5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9.2 (4.9 to 13.5)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9.3 (0.2 to 18.5)</w:t>
            </w:r>
          </w:p>
        </w:tc>
      </w:tr>
      <w:tr w:rsidR="00882468" w:rsidRPr="005741C6" w:rsidTr="002445C3">
        <w:trPr>
          <w:trHeight w:val="300"/>
        </w:trPr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Near Roadway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-8.8 (-19.4 to 1.9)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-6.5 (-17.4 to 4.4)</w:t>
            </w:r>
          </w:p>
        </w:tc>
      </w:tr>
      <w:tr w:rsidR="00882468" w:rsidRPr="005741C6" w:rsidTr="002445C3">
        <w:trPr>
          <w:trHeight w:val="15"/>
        </w:trPr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82468" w:rsidRPr="005741C6" w:rsidRDefault="00882468" w:rsidP="002445C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882468" w:rsidRPr="005741C6" w:rsidTr="002445C3">
        <w:trPr>
          <w:trHeight w:val="359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Progression of IMT (µm/yr) per 2.5 µg/m</w:t>
            </w: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of Average Follow-Up PM</w:t>
            </w: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  <w:lang w:eastAsia="en-US"/>
              </w:rPr>
              <w:t>2.5</w:t>
            </w:r>
          </w:p>
        </w:tc>
      </w:tr>
      <w:tr w:rsidR="00882468" w:rsidRPr="005741C6" w:rsidTr="002445C3">
        <w:trPr>
          <w:trHeight w:val="360"/>
        </w:trPr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Modeled PM</w:t>
            </w: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  <w:lang w:eastAsia="en-US"/>
              </w:rPr>
              <w:t>2.5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0.4 (-0.4 to 1.2)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5.0 (2.6 to 7.4)</w:t>
            </w:r>
          </w:p>
        </w:tc>
      </w:tr>
      <w:tr w:rsidR="00882468" w:rsidRPr="005741C6" w:rsidTr="002445C3">
        <w:trPr>
          <w:trHeight w:val="360"/>
        </w:trPr>
        <w:tc>
          <w:tcPr>
            <w:tcW w:w="5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Nearest Regulatory PM</w:t>
            </w: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  <w:lang w:eastAsia="en-US"/>
              </w:rPr>
              <w:t>2.5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0.1 (-0.9 to 1.0)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2.4 (-0.5 to 5.3)</w:t>
            </w:r>
          </w:p>
        </w:tc>
      </w:tr>
      <w:tr w:rsidR="00882468" w:rsidRPr="005741C6" w:rsidTr="002445C3">
        <w:trPr>
          <w:trHeight w:val="300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Near Roadway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0.4 (-1.9 to 2.7)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468" w:rsidRPr="005741C6" w:rsidRDefault="00882468" w:rsidP="002445C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5741C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1.4 (-1.0 to 3.8)</w:t>
            </w:r>
          </w:p>
        </w:tc>
      </w:tr>
    </w:tbl>
    <w:p w:rsidR="00882468" w:rsidRDefault="00882468" w:rsidP="00882468">
      <w:pPr>
        <w:pStyle w:val="ListParagraph"/>
        <w:spacing w:line="480" w:lineRule="auto"/>
        <w:ind w:left="0"/>
      </w:pPr>
    </w:p>
    <w:p w:rsidR="00882468" w:rsidRDefault="00882468" w:rsidP="00882468">
      <w:pPr>
        <w:pStyle w:val="ListParagraph"/>
        <w:spacing w:line="48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Models controlled for </w:t>
      </w:r>
      <w:r w:rsidRPr="00AA0A93">
        <w:rPr>
          <w:sz w:val="20"/>
          <w:szCs w:val="20"/>
        </w:rPr>
        <w:t>age, sex, race/ethnicity</w:t>
      </w:r>
      <w:r>
        <w:rPr>
          <w:sz w:val="20"/>
          <w:szCs w:val="20"/>
        </w:rPr>
        <w:t>,</w:t>
      </w:r>
      <w:r w:rsidRPr="00AA0A93">
        <w:rPr>
          <w:sz w:val="20"/>
          <w:szCs w:val="20"/>
        </w:rPr>
        <w:t xml:space="preserve"> education, a neighborhood socio-economic score (derived from census tract level data on education, occupation, median home values, and median household income), adiposity (1/height, 1/height</w:t>
      </w:r>
      <w:r w:rsidRPr="00AA0A93">
        <w:rPr>
          <w:sz w:val="20"/>
          <w:szCs w:val="20"/>
          <w:vertAlign w:val="superscript"/>
        </w:rPr>
        <w:t>2</w:t>
      </w:r>
      <w:r w:rsidRPr="00AA0A93">
        <w:rPr>
          <w:sz w:val="20"/>
          <w:szCs w:val="20"/>
        </w:rPr>
        <w:t>, weight, waist, and 1/hip), pack-years at baseline</w:t>
      </w:r>
      <w:r>
        <w:rPr>
          <w:sz w:val="20"/>
          <w:szCs w:val="20"/>
        </w:rPr>
        <w:t>,</w:t>
      </w:r>
      <w:r w:rsidRPr="00AA0A93">
        <w:rPr>
          <w:sz w:val="20"/>
          <w:szCs w:val="20"/>
        </w:rPr>
        <w:t xml:space="preserve"> smoking status</w:t>
      </w:r>
      <w:r>
        <w:rPr>
          <w:sz w:val="20"/>
          <w:szCs w:val="20"/>
        </w:rPr>
        <w:t xml:space="preserve">, </w:t>
      </w:r>
      <w:r w:rsidRPr="00AA0A93">
        <w:rPr>
          <w:sz w:val="20"/>
          <w:szCs w:val="20"/>
        </w:rPr>
        <w:t>HDL, total cholesterol, statin use, diabetes mellitus (using the 2003 ADA fasting criteria algorithm), systolic blood pressure, diastolic blood pressure, hypertensive diagnosis, and hypertensive medications</w:t>
      </w:r>
    </w:p>
    <w:p w:rsidR="00882468" w:rsidRDefault="00882468" w:rsidP="00882468">
      <w:pPr>
        <w:pStyle w:val="ListParagraph"/>
        <w:spacing w:line="480" w:lineRule="auto"/>
        <w:ind w:left="0"/>
        <w:rPr>
          <w:sz w:val="20"/>
          <w:szCs w:val="20"/>
        </w:rPr>
      </w:pPr>
    </w:p>
    <w:p w:rsidR="00882468" w:rsidRDefault="00882468" w:rsidP="00882468">
      <w:pPr>
        <w:pStyle w:val="ListParagraph"/>
        <w:spacing w:line="480" w:lineRule="auto"/>
        <w:ind w:left="0"/>
        <w:rPr>
          <w:i/>
        </w:rPr>
      </w:pPr>
      <w:r>
        <w:rPr>
          <w:i/>
        </w:rPr>
        <w:t>Alternate Modeling Strategy</w:t>
      </w:r>
    </w:p>
    <w:p w:rsidR="00882468" w:rsidRPr="00E32AA0" w:rsidRDefault="00882468" w:rsidP="00882468">
      <w:pPr>
        <w:pStyle w:val="ListParagraph"/>
        <w:spacing w:line="480" w:lineRule="auto"/>
        <w:ind w:left="0"/>
      </w:pPr>
      <w:r>
        <w:lastRenderedPageBreak/>
        <w:t>To confirm that our findings were not overly sensitive to our model specification, we also explored the relationship between the change in IMT over the follow-up period and the change in PM</w:t>
      </w:r>
      <w:r w:rsidRPr="00E32AA0">
        <w:rPr>
          <w:vertAlign w:val="subscript"/>
        </w:rPr>
        <w:t>2.5</w:t>
      </w:r>
      <w:r>
        <w:t xml:space="preserve"> concentrations, controlling for time and other risk factors.</w:t>
      </w:r>
      <w:r w:rsidRPr="00E32AA0">
        <w:t xml:space="preserve"> </w:t>
      </w:r>
      <w:r>
        <w:t xml:space="preserve"> In this model, we found that a 1</w:t>
      </w:r>
      <w:r w:rsidRPr="004B2EAC">
        <w:t xml:space="preserve"> µg/m</w:t>
      </w:r>
      <w:r w:rsidRPr="004B2EAC">
        <w:rPr>
          <w:vertAlign w:val="superscript"/>
        </w:rPr>
        <w:t>3</w:t>
      </w:r>
      <w:r>
        <w:t xml:space="preserve"> increase in concentrations over the follow-up period was associated with a 1.9 </w:t>
      </w:r>
      <w:r w:rsidRPr="004B2EAC">
        <w:t xml:space="preserve">µm (95% CI: </w:t>
      </w:r>
      <w:r>
        <w:t>-0.5</w:t>
      </w:r>
      <w:r w:rsidRPr="004B2EAC">
        <w:t xml:space="preserve"> to </w:t>
      </w:r>
      <w:r>
        <w:t>4.2</w:t>
      </w:r>
      <w:r w:rsidRPr="004B2EAC">
        <w:t xml:space="preserve"> µm</w:t>
      </w:r>
      <w:r>
        <w:t xml:space="preserve">) and 3.4 </w:t>
      </w:r>
      <w:r w:rsidRPr="004B2EAC">
        <w:t xml:space="preserve">µm (95% CI: </w:t>
      </w:r>
      <w:r>
        <w:t>0.9</w:t>
      </w:r>
      <w:r w:rsidRPr="004B2EAC">
        <w:t xml:space="preserve"> to </w:t>
      </w:r>
      <w:r>
        <w:t>5.3</w:t>
      </w:r>
      <w:r w:rsidRPr="004B2EAC">
        <w:t xml:space="preserve"> µm</w:t>
      </w:r>
      <w:r>
        <w:t>) larger change in IMT over follow-up, before and after control for site, respectively.</w:t>
      </w:r>
    </w:p>
    <w:p w:rsidR="00882468" w:rsidRPr="009728A7" w:rsidRDefault="00882468" w:rsidP="00882468">
      <w:pPr>
        <w:pStyle w:val="ListParagraph"/>
        <w:spacing w:line="480" w:lineRule="auto"/>
        <w:ind w:left="0"/>
      </w:pPr>
    </w:p>
    <w:p w:rsidR="00F45142" w:rsidRDefault="00F45142"/>
    <w:sectPr w:rsidR="00F45142" w:rsidSect="00EB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68"/>
    <w:rsid w:val="00522DD5"/>
    <w:rsid w:val="00882468"/>
    <w:rsid w:val="00F4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6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882468"/>
    <w:pPr>
      <w:keepNext/>
      <w:outlineLvl w:val="1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4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2468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6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882468"/>
    <w:pPr>
      <w:keepNext/>
      <w:outlineLvl w:val="1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24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2468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Adar</dc:creator>
  <cp:lastModifiedBy>Sumrina Yousufzai</cp:lastModifiedBy>
  <cp:revision>2</cp:revision>
  <dcterms:created xsi:type="dcterms:W3CDTF">2013-03-12T20:39:00Z</dcterms:created>
  <dcterms:modified xsi:type="dcterms:W3CDTF">2013-03-12T20:39:00Z</dcterms:modified>
</cp:coreProperties>
</file>