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7E21" w14:textId="70F41927" w:rsidR="00EA110D" w:rsidRDefault="00EA110D" w:rsidP="00EA110D">
      <w:pPr>
        <w:rPr>
          <w:lang w:val="en-US"/>
        </w:rPr>
      </w:pPr>
      <w:bookmarkStart w:id="0" w:name="_Hlk105398265"/>
      <w:r>
        <w:rPr>
          <w:lang w:val="en-US"/>
        </w:rPr>
        <w:t>S14</w:t>
      </w:r>
      <w:r w:rsidRPr="00EA110D">
        <w:rPr>
          <w:lang w:val="en-US"/>
        </w:rPr>
        <w:t xml:space="preserve"> </w:t>
      </w:r>
      <w:r>
        <w:rPr>
          <w:lang w:val="en-US"/>
        </w:rPr>
        <w:t>Table</w:t>
      </w:r>
      <w:r>
        <w:rPr>
          <w:lang w:val="en-US"/>
        </w:rPr>
        <w:t>.</w:t>
      </w:r>
      <w:r>
        <w:rPr>
          <w:lang w:val="en-US"/>
        </w:rPr>
        <w:t xml:space="preserve"> Check for variance in outcome domains within 25</w:t>
      </w:r>
      <w:r w:rsidRPr="00C8645C">
        <w:rPr>
          <w:vertAlign w:val="superscript"/>
          <w:lang w:val="en-US"/>
        </w:rPr>
        <w:t>th</w:t>
      </w:r>
      <w:r>
        <w:rPr>
          <w:lang w:val="en-US"/>
        </w:rPr>
        <w:t xml:space="preserve"> and 74</w:t>
      </w:r>
      <w:r w:rsidRPr="00C8645C">
        <w:rPr>
          <w:vertAlign w:val="superscript"/>
          <w:lang w:val="en-US"/>
        </w:rPr>
        <w:t>th</w:t>
      </w:r>
      <w:r>
        <w:rPr>
          <w:lang w:val="en-US"/>
        </w:rPr>
        <w:t xml:space="preserve"> birthweight centiles (for gestational age </w:t>
      </w:r>
      <w:bookmarkStart w:id="1" w:name="_Hlk113687442"/>
      <w:r>
        <w:rPr>
          <w:lang w:val="en-US"/>
        </w:rPr>
        <w:t>37</w:t>
      </w:r>
      <w:r>
        <w:rPr>
          <w:vertAlign w:val="superscript"/>
          <w:lang w:val="en-US"/>
        </w:rPr>
        <w:t>+0</w:t>
      </w:r>
      <w:r>
        <w:rPr>
          <w:lang w:val="en-US"/>
        </w:rPr>
        <w:t xml:space="preserve"> to 43</w:t>
      </w:r>
      <w:r>
        <w:rPr>
          <w:vertAlign w:val="superscript"/>
          <w:lang w:val="en-US"/>
        </w:rPr>
        <w:t>+6</w:t>
      </w:r>
      <w:bookmarkEnd w:id="1"/>
      <w:r>
        <w:rPr>
          <w:lang w:val="en-US"/>
        </w:rPr>
        <w:t>).</w:t>
      </w:r>
    </w:p>
    <w:bookmarkEnd w:id="0"/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266"/>
        <w:gridCol w:w="1151"/>
        <w:gridCol w:w="1486"/>
        <w:gridCol w:w="820"/>
        <w:gridCol w:w="1431"/>
        <w:gridCol w:w="874"/>
        <w:gridCol w:w="1514"/>
        <w:gridCol w:w="791"/>
        <w:gridCol w:w="1460"/>
        <w:gridCol w:w="848"/>
        <w:gridCol w:w="1403"/>
        <w:gridCol w:w="904"/>
      </w:tblGrid>
      <w:tr w:rsidR="00EA110D" w:rsidRPr="003A1F89" w14:paraId="614CE0D9" w14:textId="77777777" w:rsidTr="00EA110D">
        <w:tc>
          <w:tcPr>
            <w:tcW w:w="1266" w:type="dxa"/>
            <w:vMerge w:val="restart"/>
          </w:tcPr>
          <w:p w14:paraId="3DC8553A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</w:tcPr>
          <w:p w14:paraId="497A6C82" w14:textId="77777777" w:rsidR="00EA110D" w:rsidRPr="003A1F89" w:rsidRDefault="00EA110D" w:rsidP="00EA110D">
            <w:pPr>
              <w:jc w:val="center"/>
              <w:rPr>
                <w:b/>
                <w:sz w:val="18"/>
                <w:szCs w:val="18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Birth weight centile</w:t>
            </w:r>
          </w:p>
        </w:tc>
        <w:tc>
          <w:tcPr>
            <w:tcW w:w="2306" w:type="dxa"/>
            <w:gridSpan w:val="2"/>
            <w:vMerge w:val="restart"/>
          </w:tcPr>
          <w:p w14:paraId="78A19A47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Risk of any developmental concern</w:t>
            </w:r>
          </w:p>
        </w:tc>
        <w:tc>
          <w:tcPr>
            <w:tcW w:w="9225" w:type="dxa"/>
            <w:gridSpan w:val="8"/>
          </w:tcPr>
          <w:p w14:paraId="6AA89AF0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Risk for each domain</w:t>
            </w:r>
          </w:p>
        </w:tc>
      </w:tr>
      <w:tr w:rsidR="00EA110D" w:rsidRPr="003A1F89" w14:paraId="77FD4619" w14:textId="77777777" w:rsidTr="00EA110D">
        <w:tc>
          <w:tcPr>
            <w:tcW w:w="1266" w:type="dxa"/>
            <w:vMerge/>
          </w:tcPr>
          <w:p w14:paraId="5D5AC1BE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7DC778DA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</w:tcPr>
          <w:p w14:paraId="68743370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2"/>
          </w:tcPr>
          <w:p w14:paraId="4CE62D6C" w14:textId="77777777" w:rsidR="00EA110D" w:rsidRPr="003A1F89" w:rsidRDefault="00EA110D" w:rsidP="00EA11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Fine motor concern</w:t>
            </w:r>
          </w:p>
        </w:tc>
        <w:tc>
          <w:tcPr>
            <w:tcW w:w="2305" w:type="dxa"/>
            <w:gridSpan w:val="2"/>
          </w:tcPr>
          <w:p w14:paraId="35696AFE" w14:textId="77777777" w:rsidR="00EA110D" w:rsidRPr="003A1F89" w:rsidRDefault="00EA110D" w:rsidP="00EA11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Gross motor concern</w:t>
            </w:r>
          </w:p>
        </w:tc>
        <w:tc>
          <w:tcPr>
            <w:tcW w:w="2308" w:type="dxa"/>
            <w:gridSpan w:val="2"/>
          </w:tcPr>
          <w:p w14:paraId="283A5530" w14:textId="77777777" w:rsidR="00EA110D" w:rsidRPr="003A1F89" w:rsidRDefault="00EA110D" w:rsidP="00EA11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Communication concern</w:t>
            </w:r>
          </w:p>
        </w:tc>
        <w:tc>
          <w:tcPr>
            <w:tcW w:w="2307" w:type="dxa"/>
            <w:gridSpan w:val="2"/>
          </w:tcPr>
          <w:p w14:paraId="60E2CDC7" w14:textId="77777777" w:rsidR="00EA110D" w:rsidRPr="003A1F89" w:rsidRDefault="00EA110D" w:rsidP="00EA11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>Social skills concern</w:t>
            </w:r>
          </w:p>
        </w:tc>
      </w:tr>
      <w:tr w:rsidR="00EA110D" w:rsidRPr="003A1F89" w14:paraId="568209B1" w14:textId="77777777" w:rsidTr="00EA110D">
        <w:tc>
          <w:tcPr>
            <w:tcW w:w="1266" w:type="dxa"/>
            <w:vMerge/>
          </w:tcPr>
          <w:p w14:paraId="4A77221F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5764CE9C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51571E39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1F89">
              <w:rPr>
                <w:i/>
                <w:sz w:val="18"/>
                <w:szCs w:val="18"/>
              </w:rPr>
              <w:t>(95% CI)</w:t>
            </w:r>
          </w:p>
        </w:tc>
        <w:tc>
          <w:tcPr>
            <w:tcW w:w="820" w:type="dxa"/>
          </w:tcPr>
          <w:p w14:paraId="162F4B99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31" w:type="dxa"/>
          </w:tcPr>
          <w:p w14:paraId="2F73ECB9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1F89">
              <w:rPr>
                <w:i/>
                <w:sz w:val="18"/>
                <w:szCs w:val="18"/>
              </w:rPr>
              <w:t>(95% CI)</w:t>
            </w:r>
          </w:p>
        </w:tc>
        <w:tc>
          <w:tcPr>
            <w:tcW w:w="874" w:type="dxa"/>
          </w:tcPr>
          <w:p w14:paraId="0D4D3B45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514" w:type="dxa"/>
          </w:tcPr>
          <w:p w14:paraId="66E7732C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1F89">
              <w:rPr>
                <w:i/>
                <w:sz w:val="18"/>
                <w:szCs w:val="18"/>
              </w:rPr>
              <w:t>(95% CI)</w:t>
            </w:r>
          </w:p>
        </w:tc>
        <w:tc>
          <w:tcPr>
            <w:tcW w:w="791" w:type="dxa"/>
          </w:tcPr>
          <w:p w14:paraId="583A4629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60" w:type="dxa"/>
          </w:tcPr>
          <w:p w14:paraId="4EA2714E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1F89">
              <w:rPr>
                <w:i/>
                <w:sz w:val="18"/>
                <w:szCs w:val="18"/>
              </w:rPr>
              <w:t>(95% CI)</w:t>
            </w:r>
          </w:p>
        </w:tc>
        <w:tc>
          <w:tcPr>
            <w:tcW w:w="848" w:type="dxa"/>
          </w:tcPr>
          <w:p w14:paraId="48E19214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03" w:type="dxa"/>
          </w:tcPr>
          <w:p w14:paraId="10ADF3D1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1F89">
              <w:rPr>
                <w:i/>
                <w:sz w:val="18"/>
                <w:szCs w:val="18"/>
              </w:rPr>
              <w:t>(95% CI)</w:t>
            </w:r>
          </w:p>
        </w:tc>
        <w:tc>
          <w:tcPr>
            <w:tcW w:w="904" w:type="dxa"/>
          </w:tcPr>
          <w:p w14:paraId="7C6F57A3" w14:textId="77777777" w:rsidR="00EA110D" w:rsidRPr="003A1F89" w:rsidRDefault="00EA110D" w:rsidP="00EA110D">
            <w:pPr>
              <w:jc w:val="center"/>
              <w:rPr>
                <w:i/>
                <w:sz w:val="18"/>
                <w:szCs w:val="18"/>
              </w:rPr>
            </w:pPr>
            <w:r w:rsidRPr="003A1F89">
              <w:rPr>
                <w:i/>
                <w:sz w:val="18"/>
                <w:szCs w:val="18"/>
              </w:rPr>
              <w:t>p value</w:t>
            </w:r>
          </w:p>
        </w:tc>
      </w:tr>
      <w:tr w:rsidR="00EA110D" w:rsidRPr="003A1F89" w14:paraId="70135537" w14:textId="77777777" w:rsidTr="00EA110D">
        <w:tc>
          <w:tcPr>
            <w:tcW w:w="1266" w:type="dxa"/>
            <w:vMerge w:val="restart"/>
          </w:tcPr>
          <w:p w14:paraId="55BAA058" w14:textId="77777777" w:rsidR="00EA110D" w:rsidRPr="003A1F89" w:rsidRDefault="00EA110D" w:rsidP="00EA110D">
            <w:pPr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 xml:space="preserve">Unadjusted analysis 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§</w:t>
            </w:r>
          </w:p>
          <w:p w14:paraId="73A63006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498D5123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45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54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(ref)  </w:t>
            </w:r>
          </w:p>
        </w:tc>
        <w:tc>
          <w:tcPr>
            <w:tcW w:w="1486" w:type="dxa"/>
          </w:tcPr>
          <w:p w14:paraId="4D6E8867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473A558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14:paraId="039AF737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B0AAF14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14:paraId="13EB71A7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4A73CFFC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57FED8DA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6D20905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14:paraId="22B0FF40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7B3D0C71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</w:tr>
      <w:tr w:rsidR="00EA110D" w:rsidRPr="003A1F89" w14:paraId="1023B8CE" w14:textId="77777777" w:rsidTr="00EA110D">
        <w:tc>
          <w:tcPr>
            <w:tcW w:w="1266" w:type="dxa"/>
            <w:vMerge/>
          </w:tcPr>
          <w:p w14:paraId="30B91D16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489DA371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25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34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629406B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(1.00-1.09)</w:t>
            </w:r>
          </w:p>
        </w:tc>
        <w:tc>
          <w:tcPr>
            <w:tcW w:w="820" w:type="dxa"/>
            <w:vAlign w:val="bottom"/>
          </w:tcPr>
          <w:p w14:paraId="63D233BB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431" w:type="dxa"/>
            <w:vAlign w:val="center"/>
          </w:tcPr>
          <w:p w14:paraId="12176EF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(1.01-1.25)</w:t>
            </w:r>
          </w:p>
        </w:tc>
        <w:tc>
          <w:tcPr>
            <w:tcW w:w="874" w:type="dxa"/>
            <w:vAlign w:val="bottom"/>
          </w:tcPr>
          <w:p w14:paraId="2807DD82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14" w:type="dxa"/>
            <w:vAlign w:val="center"/>
          </w:tcPr>
          <w:p w14:paraId="50C9826B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(0.88-1.10)</w:t>
            </w:r>
          </w:p>
        </w:tc>
        <w:tc>
          <w:tcPr>
            <w:tcW w:w="791" w:type="dxa"/>
            <w:vAlign w:val="bottom"/>
          </w:tcPr>
          <w:p w14:paraId="5D9D139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460" w:type="dxa"/>
            <w:vAlign w:val="center"/>
          </w:tcPr>
          <w:p w14:paraId="6E04939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(1.00-1.09)</w:t>
            </w:r>
          </w:p>
        </w:tc>
        <w:tc>
          <w:tcPr>
            <w:tcW w:w="848" w:type="dxa"/>
            <w:vAlign w:val="bottom"/>
          </w:tcPr>
          <w:p w14:paraId="409DFF1D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403" w:type="dxa"/>
            <w:vAlign w:val="center"/>
          </w:tcPr>
          <w:p w14:paraId="0850C27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(1.01-1.20)</w:t>
            </w:r>
          </w:p>
        </w:tc>
        <w:tc>
          <w:tcPr>
            <w:tcW w:w="904" w:type="dxa"/>
            <w:vAlign w:val="bottom"/>
          </w:tcPr>
          <w:p w14:paraId="1D42362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0.028</w:t>
            </w:r>
          </w:p>
        </w:tc>
      </w:tr>
      <w:tr w:rsidR="00EA110D" w:rsidRPr="003A1F89" w14:paraId="46C7346B" w14:textId="77777777" w:rsidTr="00EA110D">
        <w:tc>
          <w:tcPr>
            <w:tcW w:w="1266" w:type="dxa"/>
            <w:vMerge/>
          </w:tcPr>
          <w:p w14:paraId="45757361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45D82116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35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44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0F7A2276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(0.98-1.06)</w:t>
            </w:r>
          </w:p>
        </w:tc>
        <w:tc>
          <w:tcPr>
            <w:tcW w:w="820" w:type="dxa"/>
            <w:vAlign w:val="bottom"/>
          </w:tcPr>
          <w:p w14:paraId="5B88B7B2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431" w:type="dxa"/>
            <w:vAlign w:val="center"/>
          </w:tcPr>
          <w:p w14:paraId="26FC15A9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(0.90-1.11)</w:t>
            </w:r>
          </w:p>
        </w:tc>
        <w:tc>
          <w:tcPr>
            <w:tcW w:w="874" w:type="dxa"/>
            <w:vAlign w:val="bottom"/>
          </w:tcPr>
          <w:p w14:paraId="2FD7C0B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1514" w:type="dxa"/>
            <w:vAlign w:val="center"/>
          </w:tcPr>
          <w:p w14:paraId="030A3CC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(0.84-1.06)</w:t>
            </w:r>
          </w:p>
        </w:tc>
        <w:tc>
          <w:tcPr>
            <w:tcW w:w="791" w:type="dxa"/>
            <w:vAlign w:val="bottom"/>
          </w:tcPr>
          <w:p w14:paraId="3AC951A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1460" w:type="dxa"/>
            <w:vAlign w:val="center"/>
          </w:tcPr>
          <w:p w14:paraId="584EBE46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(0.98-1.07)</w:t>
            </w:r>
          </w:p>
        </w:tc>
        <w:tc>
          <w:tcPr>
            <w:tcW w:w="848" w:type="dxa"/>
            <w:vAlign w:val="bottom"/>
          </w:tcPr>
          <w:p w14:paraId="5FE67A4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1403" w:type="dxa"/>
            <w:vAlign w:val="center"/>
          </w:tcPr>
          <w:p w14:paraId="27ED5FB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(1.01-1.19)</w:t>
            </w:r>
          </w:p>
        </w:tc>
        <w:tc>
          <w:tcPr>
            <w:tcW w:w="904" w:type="dxa"/>
            <w:vAlign w:val="bottom"/>
          </w:tcPr>
          <w:p w14:paraId="587CCCBC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0.036</w:t>
            </w:r>
          </w:p>
        </w:tc>
      </w:tr>
      <w:tr w:rsidR="00EA110D" w:rsidRPr="003A1F89" w14:paraId="60E6CA1F" w14:textId="77777777" w:rsidTr="00EA110D">
        <w:tc>
          <w:tcPr>
            <w:tcW w:w="1266" w:type="dxa"/>
            <w:vMerge/>
          </w:tcPr>
          <w:p w14:paraId="6332CAD4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E9C1EAD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55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–64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3651AFC2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(0.90-0.98)</w:t>
            </w:r>
          </w:p>
        </w:tc>
        <w:tc>
          <w:tcPr>
            <w:tcW w:w="820" w:type="dxa"/>
            <w:vAlign w:val="bottom"/>
          </w:tcPr>
          <w:p w14:paraId="76D0884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431" w:type="dxa"/>
            <w:vAlign w:val="center"/>
          </w:tcPr>
          <w:p w14:paraId="390A089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(0.82-1.03)</w:t>
            </w:r>
          </w:p>
        </w:tc>
        <w:tc>
          <w:tcPr>
            <w:tcW w:w="874" w:type="dxa"/>
            <w:vAlign w:val="bottom"/>
          </w:tcPr>
          <w:p w14:paraId="50F7F38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1514" w:type="dxa"/>
            <w:vAlign w:val="center"/>
          </w:tcPr>
          <w:p w14:paraId="5345584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(0.77-0.97)</w:t>
            </w:r>
          </w:p>
        </w:tc>
        <w:tc>
          <w:tcPr>
            <w:tcW w:w="791" w:type="dxa"/>
            <w:vAlign w:val="bottom"/>
          </w:tcPr>
          <w:p w14:paraId="26579EE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460" w:type="dxa"/>
            <w:vAlign w:val="center"/>
          </w:tcPr>
          <w:p w14:paraId="0A774C2D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(0.89-0.98)</w:t>
            </w:r>
          </w:p>
        </w:tc>
        <w:tc>
          <w:tcPr>
            <w:tcW w:w="848" w:type="dxa"/>
            <w:vAlign w:val="bottom"/>
          </w:tcPr>
          <w:p w14:paraId="1DB2086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03" w:type="dxa"/>
            <w:vAlign w:val="center"/>
          </w:tcPr>
          <w:p w14:paraId="51FA32A3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(0.87-1.03)</w:t>
            </w:r>
          </w:p>
        </w:tc>
        <w:tc>
          <w:tcPr>
            <w:tcW w:w="904" w:type="dxa"/>
            <w:vAlign w:val="bottom"/>
          </w:tcPr>
          <w:p w14:paraId="0675666B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0.197</w:t>
            </w:r>
          </w:p>
        </w:tc>
      </w:tr>
      <w:tr w:rsidR="00EA110D" w:rsidRPr="003A1F89" w14:paraId="5FF7E3F4" w14:textId="77777777" w:rsidTr="00EA110D">
        <w:tc>
          <w:tcPr>
            <w:tcW w:w="1266" w:type="dxa"/>
            <w:vMerge/>
          </w:tcPr>
          <w:p w14:paraId="10E4EA65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3900E415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65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74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723AC6B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(0.91-0.99)</w:t>
            </w:r>
          </w:p>
        </w:tc>
        <w:tc>
          <w:tcPr>
            <w:tcW w:w="820" w:type="dxa"/>
            <w:vAlign w:val="bottom"/>
          </w:tcPr>
          <w:p w14:paraId="53E6CA4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431" w:type="dxa"/>
            <w:vAlign w:val="center"/>
          </w:tcPr>
          <w:p w14:paraId="57E9DCA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(0.83-1.04)</w:t>
            </w:r>
          </w:p>
        </w:tc>
        <w:tc>
          <w:tcPr>
            <w:tcW w:w="874" w:type="dxa"/>
            <w:vAlign w:val="bottom"/>
          </w:tcPr>
          <w:p w14:paraId="41C3DA79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514" w:type="dxa"/>
            <w:vAlign w:val="center"/>
          </w:tcPr>
          <w:p w14:paraId="11A136F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(0.82-1.04)</w:t>
            </w:r>
          </w:p>
        </w:tc>
        <w:tc>
          <w:tcPr>
            <w:tcW w:w="791" w:type="dxa"/>
            <w:vAlign w:val="bottom"/>
          </w:tcPr>
          <w:p w14:paraId="70C56D0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460" w:type="dxa"/>
            <w:vAlign w:val="center"/>
          </w:tcPr>
          <w:p w14:paraId="60F394B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(0.90-0.99)</w:t>
            </w:r>
          </w:p>
        </w:tc>
        <w:tc>
          <w:tcPr>
            <w:tcW w:w="848" w:type="dxa"/>
            <w:vAlign w:val="bottom"/>
          </w:tcPr>
          <w:p w14:paraId="7B9CB96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403" w:type="dxa"/>
            <w:vAlign w:val="center"/>
          </w:tcPr>
          <w:p w14:paraId="46814922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(0.87-1.04)</w:t>
            </w:r>
          </w:p>
        </w:tc>
        <w:tc>
          <w:tcPr>
            <w:tcW w:w="904" w:type="dxa"/>
            <w:vAlign w:val="bottom"/>
          </w:tcPr>
          <w:p w14:paraId="68DF777D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0.284</w:t>
            </w:r>
          </w:p>
        </w:tc>
      </w:tr>
      <w:tr w:rsidR="00EA110D" w:rsidRPr="003A1F89" w14:paraId="0E3D185F" w14:textId="77777777" w:rsidTr="00EA110D">
        <w:tc>
          <w:tcPr>
            <w:tcW w:w="13948" w:type="dxa"/>
            <w:gridSpan w:val="12"/>
          </w:tcPr>
          <w:p w14:paraId="43F0F6E9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</w:tr>
      <w:tr w:rsidR="00EA110D" w:rsidRPr="003A1F89" w14:paraId="4B7CF58F" w14:textId="77777777" w:rsidTr="00EA110D">
        <w:tc>
          <w:tcPr>
            <w:tcW w:w="1266" w:type="dxa"/>
            <w:vMerge w:val="restart"/>
          </w:tcPr>
          <w:p w14:paraId="58DCB22D" w14:textId="77777777" w:rsidR="00EA110D" w:rsidRPr="003A1F89" w:rsidRDefault="00EA110D" w:rsidP="00EA110D">
            <w:pPr>
              <w:rPr>
                <w:b/>
                <w:sz w:val="18"/>
                <w:szCs w:val="18"/>
                <w:lang w:val="en-US"/>
              </w:rPr>
            </w:pPr>
            <w:r w:rsidRPr="003A1F89">
              <w:rPr>
                <w:b/>
                <w:sz w:val="18"/>
                <w:szCs w:val="18"/>
                <w:lang w:val="en-US"/>
              </w:rPr>
              <w:t xml:space="preserve">Adjusted analysis 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¥</w:t>
            </w:r>
            <w:r w:rsidRPr="003A1F89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14:paraId="25AC54FF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F457CA6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45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54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</w:t>
            </w:r>
          </w:p>
          <w:p w14:paraId="07CBC71F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 xml:space="preserve">(ref) </w:t>
            </w:r>
          </w:p>
        </w:tc>
        <w:tc>
          <w:tcPr>
            <w:tcW w:w="1486" w:type="dxa"/>
          </w:tcPr>
          <w:p w14:paraId="2FA2A96F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4AD182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14:paraId="675414F5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FB4E5B4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14:paraId="79DCF70A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2CFE33DE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F18A198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EFC04CE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14:paraId="055142B5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1978D480" w14:textId="77777777" w:rsidR="00EA110D" w:rsidRPr="003A1F89" w:rsidRDefault="00EA110D" w:rsidP="00EA110D">
            <w:pPr>
              <w:jc w:val="center"/>
              <w:rPr>
                <w:sz w:val="18"/>
                <w:szCs w:val="18"/>
              </w:rPr>
            </w:pPr>
          </w:p>
        </w:tc>
      </w:tr>
      <w:tr w:rsidR="00EA110D" w:rsidRPr="003A1F89" w14:paraId="312775C7" w14:textId="77777777" w:rsidTr="00EA110D">
        <w:tc>
          <w:tcPr>
            <w:tcW w:w="1266" w:type="dxa"/>
            <w:vMerge/>
          </w:tcPr>
          <w:p w14:paraId="13E55E98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16AB96B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25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34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565833A8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(0.95-1.07)</w:t>
            </w:r>
          </w:p>
        </w:tc>
        <w:tc>
          <w:tcPr>
            <w:tcW w:w="820" w:type="dxa"/>
            <w:vAlign w:val="bottom"/>
          </w:tcPr>
          <w:p w14:paraId="10C2A28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1431" w:type="dxa"/>
            <w:vAlign w:val="center"/>
          </w:tcPr>
          <w:p w14:paraId="15E2D1F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(0.94-1.33)</w:t>
            </w:r>
          </w:p>
        </w:tc>
        <w:tc>
          <w:tcPr>
            <w:tcW w:w="874" w:type="dxa"/>
            <w:vAlign w:val="bottom"/>
          </w:tcPr>
          <w:p w14:paraId="399EBDC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514" w:type="dxa"/>
            <w:vAlign w:val="center"/>
          </w:tcPr>
          <w:p w14:paraId="19E3B0EC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(0.85-1.22)</w:t>
            </w:r>
          </w:p>
        </w:tc>
        <w:tc>
          <w:tcPr>
            <w:tcW w:w="791" w:type="dxa"/>
            <w:vAlign w:val="bottom"/>
          </w:tcPr>
          <w:p w14:paraId="4F070C99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1460" w:type="dxa"/>
            <w:vAlign w:val="center"/>
          </w:tcPr>
          <w:p w14:paraId="5C7B32A1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(0.94-1.08)</w:t>
            </w:r>
          </w:p>
        </w:tc>
        <w:tc>
          <w:tcPr>
            <w:tcW w:w="848" w:type="dxa"/>
            <w:vAlign w:val="bottom"/>
          </w:tcPr>
          <w:p w14:paraId="7D523DA6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1403" w:type="dxa"/>
            <w:vAlign w:val="center"/>
          </w:tcPr>
          <w:p w14:paraId="57141079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(0.86-1.12)</w:t>
            </w:r>
          </w:p>
        </w:tc>
        <w:tc>
          <w:tcPr>
            <w:tcW w:w="904" w:type="dxa"/>
            <w:vAlign w:val="bottom"/>
          </w:tcPr>
          <w:p w14:paraId="37C8E5D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0.807</w:t>
            </w:r>
          </w:p>
        </w:tc>
      </w:tr>
      <w:tr w:rsidR="00EA110D" w:rsidRPr="003A1F89" w14:paraId="6CBC769A" w14:textId="77777777" w:rsidTr="00EA110D">
        <w:tc>
          <w:tcPr>
            <w:tcW w:w="1266" w:type="dxa"/>
            <w:vMerge/>
          </w:tcPr>
          <w:p w14:paraId="51DE1DFF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1319D26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35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44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776688A7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(0.94-1.06)</w:t>
            </w:r>
          </w:p>
        </w:tc>
        <w:tc>
          <w:tcPr>
            <w:tcW w:w="820" w:type="dxa"/>
            <w:vAlign w:val="bottom"/>
          </w:tcPr>
          <w:p w14:paraId="3395644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1431" w:type="dxa"/>
            <w:vAlign w:val="center"/>
          </w:tcPr>
          <w:p w14:paraId="0535E513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(0.83-1.19)</w:t>
            </w:r>
          </w:p>
        </w:tc>
        <w:tc>
          <w:tcPr>
            <w:tcW w:w="874" w:type="dxa"/>
            <w:vAlign w:val="bottom"/>
          </w:tcPr>
          <w:p w14:paraId="7FA1AA1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1514" w:type="dxa"/>
            <w:vAlign w:val="center"/>
          </w:tcPr>
          <w:p w14:paraId="7808452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(0.87-1.25)</w:t>
            </w:r>
          </w:p>
        </w:tc>
        <w:tc>
          <w:tcPr>
            <w:tcW w:w="791" w:type="dxa"/>
            <w:vAlign w:val="bottom"/>
          </w:tcPr>
          <w:p w14:paraId="70518D3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1460" w:type="dxa"/>
            <w:vAlign w:val="center"/>
          </w:tcPr>
          <w:p w14:paraId="03A3125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(0.94-1.08)</w:t>
            </w:r>
          </w:p>
        </w:tc>
        <w:tc>
          <w:tcPr>
            <w:tcW w:w="848" w:type="dxa"/>
            <w:vAlign w:val="bottom"/>
          </w:tcPr>
          <w:p w14:paraId="220305E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1403" w:type="dxa"/>
            <w:vAlign w:val="center"/>
          </w:tcPr>
          <w:p w14:paraId="6905F2D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(0.91-1.18)</w:t>
            </w:r>
          </w:p>
        </w:tc>
        <w:tc>
          <w:tcPr>
            <w:tcW w:w="904" w:type="dxa"/>
            <w:vAlign w:val="bottom"/>
          </w:tcPr>
          <w:p w14:paraId="2441007D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0.605</w:t>
            </w:r>
          </w:p>
        </w:tc>
      </w:tr>
      <w:tr w:rsidR="00EA110D" w:rsidRPr="003A1F89" w14:paraId="05E0DEB4" w14:textId="77777777" w:rsidTr="00EA110D">
        <w:tc>
          <w:tcPr>
            <w:tcW w:w="1266" w:type="dxa"/>
            <w:vMerge/>
          </w:tcPr>
          <w:p w14:paraId="151EDED2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C56CEEB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55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–64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094CE2CB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(0.91-1.03)</w:t>
            </w:r>
          </w:p>
        </w:tc>
        <w:tc>
          <w:tcPr>
            <w:tcW w:w="820" w:type="dxa"/>
            <w:vAlign w:val="bottom"/>
          </w:tcPr>
          <w:p w14:paraId="65A53BEB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1431" w:type="dxa"/>
            <w:vAlign w:val="center"/>
          </w:tcPr>
          <w:p w14:paraId="0EF88CB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(0.80-1.15)</w:t>
            </w:r>
          </w:p>
        </w:tc>
        <w:tc>
          <w:tcPr>
            <w:tcW w:w="874" w:type="dxa"/>
            <w:vAlign w:val="bottom"/>
          </w:tcPr>
          <w:p w14:paraId="703B73B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1514" w:type="dxa"/>
            <w:vAlign w:val="center"/>
          </w:tcPr>
          <w:p w14:paraId="33D22904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(0.72-1.05)</w:t>
            </w:r>
          </w:p>
        </w:tc>
        <w:tc>
          <w:tcPr>
            <w:tcW w:w="791" w:type="dxa"/>
            <w:vAlign w:val="bottom"/>
          </w:tcPr>
          <w:p w14:paraId="207C3E8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460" w:type="dxa"/>
            <w:vAlign w:val="center"/>
          </w:tcPr>
          <w:p w14:paraId="59773368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(0.91-1.04)</w:t>
            </w:r>
          </w:p>
        </w:tc>
        <w:tc>
          <w:tcPr>
            <w:tcW w:w="848" w:type="dxa"/>
            <w:vAlign w:val="bottom"/>
          </w:tcPr>
          <w:p w14:paraId="4CFBF45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403" w:type="dxa"/>
            <w:vAlign w:val="center"/>
          </w:tcPr>
          <w:p w14:paraId="78DAC74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(0.84-1.10)</w:t>
            </w:r>
          </w:p>
        </w:tc>
        <w:tc>
          <w:tcPr>
            <w:tcW w:w="904" w:type="dxa"/>
            <w:vAlign w:val="bottom"/>
          </w:tcPr>
          <w:p w14:paraId="7C1D29FE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0.574</w:t>
            </w:r>
          </w:p>
        </w:tc>
      </w:tr>
      <w:tr w:rsidR="00EA110D" w:rsidRPr="003A1F89" w14:paraId="61DFB768" w14:textId="77777777" w:rsidTr="00EA110D">
        <w:tc>
          <w:tcPr>
            <w:tcW w:w="1266" w:type="dxa"/>
            <w:vMerge/>
          </w:tcPr>
          <w:p w14:paraId="1ECC4262" w14:textId="77777777" w:rsidR="00EA110D" w:rsidRPr="003A1F89" w:rsidRDefault="00EA110D" w:rsidP="00EA110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1D1B7CC6" w14:textId="77777777" w:rsidR="00EA110D" w:rsidRPr="003A1F89" w:rsidRDefault="00EA110D" w:rsidP="00EA110D">
            <w:pPr>
              <w:rPr>
                <w:sz w:val="18"/>
                <w:szCs w:val="18"/>
                <w:lang w:val="en-US"/>
              </w:rPr>
            </w:pPr>
            <w:r w:rsidRPr="003A1F89">
              <w:rPr>
                <w:sz w:val="18"/>
                <w:szCs w:val="18"/>
                <w:lang w:val="en-US"/>
              </w:rPr>
              <w:t>65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– 74</w:t>
            </w:r>
            <w:r w:rsidRPr="003A1F8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A1F89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86" w:type="dxa"/>
            <w:vAlign w:val="center"/>
          </w:tcPr>
          <w:p w14:paraId="428E833C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(0.90-1.02)</w:t>
            </w:r>
          </w:p>
        </w:tc>
        <w:tc>
          <w:tcPr>
            <w:tcW w:w="820" w:type="dxa"/>
            <w:vAlign w:val="bottom"/>
          </w:tcPr>
          <w:p w14:paraId="704D5D53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431" w:type="dxa"/>
            <w:vAlign w:val="center"/>
          </w:tcPr>
          <w:p w14:paraId="630232C2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(0.92-1.31)</w:t>
            </w:r>
          </w:p>
        </w:tc>
        <w:tc>
          <w:tcPr>
            <w:tcW w:w="874" w:type="dxa"/>
            <w:vAlign w:val="bottom"/>
          </w:tcPr>
          <w:p w14:paraId="6662352F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1514" w:type="dxa"/>
            <w:vAlign w:val="center"/>
          </w:tcPr>
          <w:p w14:paraId="609F3DD0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(0.85-1.22)</w:t>
            </w:r>
          </w:p>
        </w:tc>
        <w:tc>
          <w:tcPr>
            <w:tcW w:w="791" w:type="dxa"/>
            <w:vAlign w:val="bottom"/>
          </w:tcPr>
          <w:p w14:paraId="58134A6C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1460" w:type="dxa"/>
            <w:vAlign w:val="center"/>
          </w:tcPr>
          <w:p w14:paraId="771B06B8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(0.9o-1.03)</w:t>
            </w:r>
          </w:p>
        </w:tc>
        <w:tc>
          <w:tcPr>
            <w:tcW w:w="848" w:type="dxa"/>
            <w:vAlign w:val="bottom"/>
          </w:tcPr>
          <w:p w14:paraId="62DDB9D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1403" w:type="dxa"/>
            <w:vAlign w:val="center"/>
          </w:tcPr>
          <w:p w14:paraId="6F2FC785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(0.87-1.12)</w:t>
            </w:r>
          </w:p>
        </w:tc>
        <w:tc>
          <w:tcPr>
            <w:tcW w:w="904" w:type="dxa"/>
            <w:vAlign w:val="bottom"/>
          </w:tcPr>
          <w:p w14:paraId="170625AA" w14:textId="77777777" w:rsidR="00EA110D" w:rsidRPr="003A1F89" w:rsidRDefault="00EA110D" w:rsidP="00EA11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1F89">
              <w:rPr>
                <w:rFonts w:ascii="Calibri" w:hAnsi="Calibri"/>
                <w:color w:val="000000"/>
                <w:sz w:val="18"/>
                <w:szCs w:val="18"/>
              </w:rPr>
              <w:t>0.836</w:t>
            </w:r>
          </w:p>
        </w:tc>
      </w:tr>
    </w:tbl>
    <w:p w14:paraId="45890F16" w14:textId="77777777" w:rsidR="00EA110D" w:rsidRDefault="00EA110D" w:rsidP="00EA110D"/>
    <w:p w14:paraId="36149A8E" w14:textId="77777777" w:rsidR="00EA110D" w:rsidRDefault="00EA110D" w:rsidP="00EA110D">
      <w:pPr>
        <w:spacing w:after="0"/>
        <w:rPr>
          <w:sz w:val="20"/>
          <w:szCs w:val="20"/>
          <w:lang w:val="en-US"/>
        </w:rPr>
      </w:pPr>
    </w:p>
    <w:p w14:paraId="4F7A1213" w14:textId="77777777" w:rsidR="00EA110D" w:rsidRPr="001F1852" w:rsidRDefault="00EA110D" w:rsidP="00EA110D">
      <w:pPr>
        <w:spacing w:after="0"/>
        <w:rPr>
          <w:sz w:val="20"/>
          <w:szCs w:val="20"/>
          <w:lang w:val="en-US"/>
        </w:rPr>
      </w:pPr>
      <w:r w:rsidRPr="001F1852">
        <w:rPr>
          <w:sz w:val="20"/>
          <w:szCs w:val="20"/>
          <w:lang w:val="en-US"/>
        </w:rPr>
        <w:t>§ – Unadjuste</w:t>
      </w:r>
      <w:r>
        <w:rPr>
          <w:sz w:val="20"/>
          <w:szCs w:val="20"/>
          <w:lang w:val="en-US"/>
        </w:rPr>
        <w:t>d,</w:t>
      </w:r>
      <w:r w:rsidRPr="001F1852">
        <w:rPr>
          <w:sz w:val="20"/>
          <w:szCs w:val="20"/>
          <w:lang w:val="en-US"/>
        </w:rPr>
        <w:t xml:space="preserve"> n=</w:t>
      </w:r>
      <w:r w:rsidRPr="00864DEF">
        <w:rPr>
          <w:sz w:val="19"/>
          <w:szCs w:val="19"/>
          <w:lang w:val="en-US"/>
        </w:rPr>
        <w:t>147,789</w:t>
      </w:r>
      <w:r w:rsidRPr="001F1852">
        <w:rPr>
          <w:sz w:val="20"/>
          <w:szCs w:val="20"/>
          <w:lang w:val="en-US"/>
        </w:rPr>
        <w:t xml:space="preserve">.  </w:t>
      </w:r>
    </w:p>
    <w:p w14:paraId="1914509A" w14:textId="77777777" w:rsidR="00EA110D" w:rsidRDefault="00EA110D" w:rsidP="00EA110D">
      <w:r w:rsidRPr="001F1852">
        <w:rPr>
          <w:sz w:val="20"/>
          <w:szCs w:val="20"/>
          <w:lang w:val="en-US"/>
        </w:rPr>
        <w:t>¥ - Adjust</w:t>
      </w:r>
      <w:r>
        <w:rPr>
          <w:sz w:val="20"/>
          <w:szCs w:val="20"/>
          <w:lang w:val="en-US"/>
        </w:rPr>
        <w:t>ed, n=</w:t>
      </w:r>
      <w:r w:rsidRPr="00864DEF">
        <w:rPr>
          <w:sz w:val="18"/>
          <w:szCs w:val="18"/>
          <w:lang w:val="en-US"/>
        </w:rPr>
        <w:t>59,977</w:t>
      </w:r>
      <w:r>
        <w:rPr>
          <w:sz w:val="20"/>
          <w:szCs w:val="20"/>
          <w:lang w:val="en-US"/>
        </w:rPr>
        <w:t>. Analysis was</w:t>
      </w:r>
      <w:r w:rsidRPr="001F1852">
        <w:rPr>
          <w:sz w:val="20"/>
          <w:szCs w:val="20"/>
          <w:lang w:val="en-US"/>
        </w:rPr>
        <w:t xml:space="preserve"> adjusted for maternal age, </w:t>
      </w:r>
      <w:r>
        <w:rPr>
          <w:sz w:val="20"/>
          <w:szCs w:val="20"/>
          <w:lang w:val="en-US"/>
        </w:rPr>
        <w:t>body mass index (</w:t>
      </w:r>
      <w:r w:rsidRPr="001F1852">
        <w:rPr>
          <w:sz w:val="20"/>
          <w:szCs w:val="20"/>
          <w:lang w:val="en-US"/>
        </w:rPr>
        <w:t>BMI</w:t>
      </w:r>
      <w:r>
        <w:rPr>
          <w:sz w:val="20"/>
          <w:szCs w:val="20"/>
          <w:lang w:val="en-US"/>
        </w:rPr>
        <w:t>)</w:t>
      </w:r>
      <w:r w:rsidRPr="001F1852">
        <w:rPr>
          <w:sz w:val="20"/>
          <w:szCs w:val="20"/>
          <w:lang w:val="en-US"/>
        </w:rPr>
        <w:t xml:space="preserve">, parity, year of birth, gestational age at delivery, child’s sex, smoking, </w:t>
      </w:r>
      <w:r>
        <w:rPr>
          <w:sz w:val="20"/>
          <w:szCs w:val="20"/>
          <w:lang w:val="en-US"/>
        </w:rPr>
        <w:t>substance</w:t>
      </w:r>
      <w:r w:rsidRPr="001F18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mis</w:t>
      </w:r>
      <w:r w:rsidRPr="001F1852">
        <w:rPr>
          <w:sz w:val="20"/>
          <w:szCs w:val="20"/>
          <w:lang w:val="en-US"/>
        </w:rPr>
        <w:t xml:space="preserve">use in pregnancy, alcohol intake, socioeconomic status, ethnicity, diabetes, pre-eclampsia, maternal infection during pregnancy, history of stillbirth and spontaneous abortion, and induction of </w:t>
      </w:r>
      <w:proofErr w:type="spellStart"/>
      <w:r w:rsidRPr="001F1852">
        <w:rPr>
          <w:sz w:val="20"/>
          <w:szCs w:val="20"/>
          <w:lang w:val="en-US"/>
        </w:rPr>
        <w:t>labour</w:t>
      </w:r>
      <w:proofErr w:type="spellEnd"/>
      <w:r w:rsidRPr="001F1852">
        <w:rPr>
          <w:sz w:val="20"/>
          <w:szCs w:val="20"/>
          <w:lang w:val="en-US"/>
        </w:rPr>
        <w:t>.</w:t>
      </w:r>
    </w:p>
    <w:p w14:paraId="539EB7E9" w14:textId="77777777" w:rsidR="004B6428" w:rsidRDefault="004B6428"/>
    <w:sectPr w:rsidR="004B6428" w:rsidSect="00EA1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0D"/>
    <w:rsid w:val="004B6428"/>
    <w:rsid w:val="00E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15EE"/>
  <w15:chartTrackingRefBased/>
  <w15:docId w15:val="{99DC9175-C6B1-4B1A-9D01-EFCE4BB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Adanikin</dc:creator>
  <cp:keywords/>
  <dc:description/>
  <cp:lastModifiedBy>Abiodun Adanikin</cp:lastModifiedBy>
  <cp:revision>1</cp:revision>
  <dcterms:created xsi:type="dcterms:W3CDTF">2022-09-14T11:37:00Z</dcterms:created>
  <dcterms:modified xsi:type="dcterms:W3CDTF">2022-09-14T11:38:00Z</dcterms:modified>
</cp:coreProperties>
</file>