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BBA4D" w14:textId="2EC09162" w:rsidR="008B2584" w:rsidRPr="00361AFD" w:rsidRDefault="008B2584" w:rsidP="008B2584">
      <w:pPr>
        <w:rPr>
          <w:rFonts w:cstheme="minorHAnsi"/>
          <w:b/>
          <w:sz w:val="22"/>
          <w:lang w:val="en-GB"/>
        </w:rPr>
      </w:pPr>
      <w:r w:rsidRPr="00361AFD">
        <w:rPr>
          <w:rFonts w:cstheme="minorHAnsi"/>
          <w:b/>
          <w:sz w:val="22"/>
          <w:lang w:val="en-GB"/>
        </w:rPr>
        <w:t xml:space="preserve">Post-marketing active surveillance of myocarditis and pericarditis following vaccination with COVID-19 mRNA vaccines in persons aged 12-39 years in Italy: a multi-database, self-controlled case series study </w:t>
      </w:r>
      <w:r w:rsidR="00E500FB">
        <w:rPr>
          <w:rFonts w:cstheme="minorHAnsi"/>
          <w:b/>
          <w:sz w:val="22"/>
          <w:lang w:val="en-GB"/>
        </w:rPr>
        <w:t>(Supporting information- S1</w:t>
      </w:r>
      <w:r w:rsidR="00743E7E">
        <w:rPr>
          <w:rFonts w:cstheme="minorHAnsi"/>
          <w:b/>
          <w:sz w:val="22"/>
          <w:lang w:val="en-GB"/>
        </w:rPr>
        <w:t>6</w:t>
      </w:r>
      <w:r w:rsidRPr="00361AFD">
        <w:rPr>
          <w:rFonts w:cstheme="minorHAnsi"/>
          <w:b/>
          <w:sz w:val="22"/>
          <w:lang w:val="en-GB"/>
        </w:rPr>
        <w:t xml:space="preserve"> Table)</w:t>
      </w:r>
    </w:p>
    <w:p w14:paraId="5A61F2A9" w14:textId="3F15C394" w:rsidR="00B27529" w:rsidRPr="008B2584" w:rsidRDefault="00B27529" w:rsidP="0098294E">
      <w:pPr>
        <w:rPr>
          <w:rFonts w:cstheme="minorHAnsi"/>
          <w:b/>
          <w:lang w:val="en-GB"/>
        </w:rPr>
      </w:pPr>
    </w:p>
    <w:p w14:paraId="6E3BF5AC" w14:textId="77777777" w:rsidR="0098294E" w:rsidRPr="006B67EC" w:rsidRDefault="0098294E" w:rsidP="0098294E">
      <w:pPr>
        <w:jc w:val="center"/>
        <w:rPr>
          <w:rFonts w:cstheme="minorHAnsi"/>
          <w:sz w:val="18"/>
          <w:szCs w:val="20"/>
          <w:lang w:val="en-GB"/>
        </w:rPr>
      </w:pPr>
    </w:p>
    <w:p w14:paraId="0464C6E4" w14:textId="1DDEA257" w:rsidR="0098294E" w:rsidRPr="0053537A" w:rsidRDefault="00743E7E" w:rsidP="71579175">
      <w:pPr>
        <w:rPr>
          <w:rFonts w:eastAsia="Times New Roman"/>
          <w:b/>
          <w:bCs/>
          <w:sz w:val="20"/>
          <w:szCs w:val="20"/>
          <w:lang w:val="en-GB" w:eastAsia="it-IT"/>
        </w:rPr>
      </w:pPr>
      <w:r>
        <w:rPr>
          <w:rFonts w:eastAsia="Times New Roman"/>
          <w:b/>
          <w:bCs/>
          <w:sz w:val="20"/>
          <w:szCs w:val="20"/>
          <w:lang w:val="en-GB" w:eastAsia="it-IT"/>
        </w:rPr>
        <w:t>S16 Table</w:t>
      </w:r>
      <w:bookmarkStart w:id="0" w:name="_GoBack"/>
      <w:bookmarkEnd w:id="0"/>
      <w:r w:rsidR="2115D463" w:rsidRPr="0053537A">
        <w:rPr>
          <w:rFonts w:eastAsia="Times New Roman"/>
          <w:b/>
          <w:bCs/>
          <w:sz w:val="20"/>
          <w:szCs w:val="20"/>
          <w:lang w:val="en-GB" w:eastAsia="it-IT"/>
        </w:rPr>
        <w:t xml:space="preserve">. </w:t>
      </w:r>
      <w:r w:rsidR="46E2ACFD" w:rsidRPr="0053537A">
        <w:rPr>
          <w:rFonts w:eastAsia="Times New Roman"/>
          <w:b/>
          <w:bCs/>
          <w:sz w:val="20"/>
          <w:szCs w:val="20"/>
          <w:lang w:val="en-GB" w:eastAsia="it-IT"/>
        </w:rPr>
        <w:t>Sensitivity analyses</w:t>
      </w:r>
      <w:r w:rsidR="35EFD1BB" w:rsidRPr="0053537A">
        <w:rPr>
          <w:rFonts w:eastAsia="Times New Roman"/>
          <w:b/>
          <w:bCs/>
          <w:sz w:val="20"/>
          <w:szCs w:val="20"/>
          <w:lang w:val="en-GB" w:eastAsia="it-IT"/>
        </w:rPr>
        <w:t>.</w:t>
      </w:r>
      <w:r w:rsidR="05AB08DF" w:rsidRPr="0053537A">
        <w:rPr>
          <w:rFonts w:eastAsia="Times New Roman"/>
          <w:b/>
          <w:bCs/>
          <w:sz w:val="20"/>
          <w:szCs w:val="20"/>
          <w:lang w:val="en-GB" w:eastAsia="it-IT"/>
        </w:rPr>
        <w:t xml:space="preserve"> </w:t>
      </w:r>
    </w:p>
    <w:p w14:paraId="3952D0F4" w14:textId="77777777" w:rsidR="00707B79" w:rsidRPr="0053537A" w:rsidRDefault="00707B79">
      <w:pPr>
        <w:rPr>
          <w:rFonts w:cstheme="minorHAnsi"/>
          <w:lang w:val="en-GB"/>
        </w:rPr>
      </w:pPr>
    </w:p>
    <w:tbl>
      <w:tblPr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393"/>
        <w:gridCol w:w="675"/>
        <w:gridCol w:w="650"/>
        <w:gridCol w:w="1509"/>
        <w:gridCol w:w="1434"/>
        <w:gridCol w:w="10"/>
      </w:tblGrid>
      <w:tr w:rsidR="00707B79" w:rsidRPr="0053537A" w14:paraId="7C16F651" w14:textId="77777777" w:rsidTr="008D2377">
        <w:trPr>
          <w:trHeight w:val="162"/>
        </w:trPr>
        <w:tc>
          <w:tcPr>
            <w:tcW w:w="2533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0296" w14:textId="3330421D" w:rsidR="00707B79" w:rsidRPr="0053537A" w:rsidRDefault="00707B79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155ED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Risk</w:t>
            </w:r>
          </w:p>
          <w:p w14:paraId="4D95288E" w14:textId="4BAA43CE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interval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1B75C" w14:textId="15F9E609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Dose</w:t>
            </w:r>
          </w:p>
        </w:tc>
        <w:tc>
          <w:tcPr>
            <w:tcW w:w="1703" w:type="pct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43436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Adjusted</w:t>
            </w:r>
          </w:p>
          <w:p w14:paraId="09F3FC1F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Relative Incidence (95% CI)*</w:t>
            </w:r>
          </w:p>
          <w:p w14:paraId="701BF871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707B79" w:rsidRPr="0053537A" w14:paraId="6BEC8EDA" w14:textId="77777777" w:rsidTr="0053537A">
        <w:trPr>
          <w:gridAfter w:val="1"/>
          <w:wAfter w:w="6" w:type="pct"/>
          <w:trHeight w:val="162"/>
        </w:trPr>
        <w:tc>
          <w:tcPr>
            <w:tcW w:w="253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CA091" w14:textId="77777777" w:rsidR="00707B79" w:rsidRPr="0053537A" w:rsidRDefault="00707B79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0FA76" w14:textId="0751817D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57EE6" w14:textId="1EED704C" w:rsidR="00707B79" w:rsidRPr="0053537A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2051D" w14:textId="2D299A0D" w:rsidR="00707B79" w:rsidRPr="0053537A" w:rsidRDefault="007A11C8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BNT162b2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AEEEC" w14:textId="00AEC996" w:rsidR="00707B79" w:rsidRPr="0053537A" w:rsidRDefault="007A11C8" w:rsidP="007A11C8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mRNA-1273</w:t>
            </w:r>
          </w:p>
        </w:tc>
      </w:tr>
      <w:tr w:rsidR="00707B79" w:rsidRPr="0053537A" w14:paraId="61F0AC5C" w14:textId="77777777" w:rsidTr="0053537A">
        <w:trPr>
          <w:gridAfter w:val="1"/>
          <w:wAfter w:w="6" w:type="pct"/>
          <w:trHeight w:val="230"/>
        </w:trPr>
        <w:tc>
          <w:tcPr>
            <w:tcW w:w="2533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5C520" w14:textId="6EF367C2" w:rsidR="00707B79" w:rsidRPr="0053537A" w:rsidRDefault="6A98F0D9" w:rsidP="66DEB97B">
            <w:pPr>
              <w:rPr>
                <w:rFonts w:eastAsia="Calibr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/>
                <w:b/>
                <w:bCs/>
                <w:color w:val="000000" w:themeColor="text1"/>
                <w:sz w:val="16"/>
                <w:szCs w:val="16"/>
                <w:lang w:val="en-GB"/>
              </w:rPr>
              <w:t>Reference analysis (SCCS modified for event-dependent exposures)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8046A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E1B4B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9DC58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1.27 (0.70-2.31)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6FC7A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6.55 (2.73-15.72)</w:t>
            </w:r>
          </w:p>
        </w:tc>
      </w:tr>
      <w:tr w:rsidR="00707B79" w:rsidRPr="007A11C8" w14:paraId="32BE3161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tcBorders>
              <w:top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EA2B0" w14:textId="77777777" w:rsidR="00707B79" w:rsidRPr="0053537A" w:rsidRDefault="00707B79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42588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0CC50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B0748" w14:textId="77777777" w:rsidR="00707B79" w:rsidRPr="0053537A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3.39 (2.02-5.68)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367C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b/>
                <w:sz w:val="16"/>
                <w:szCs w:val="16"/>
                <w:lang w:val="en-GB"/>
              </w:rPr>
              <w:t>7.59 (3.26-17.65)</w:t>
            </w:r>
          </w:p>
        </w:tc>
      </w:tr>
      <w:tr w:rsidR="00707B79" w:rsidRPr="007A11C8" w14:paraId="26D2B993" w14:textId="77777777" w:rsidTr="0053537A">
        <w:trPr>
          <w:gridAfter w:val="1"/>
          <w:wAfter w:w="6" w:type="pct"/>
          <w:trHeight w:val="230"/>
        </w:trPr>
        <w:tc>
          <w:tcPr>
            <w:tcW w:w="253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48D18C" w14:textId="30EEFBA6" w:rsidR="00707B79" w:rsidRPr="007A11C8" w:rsidRDefault="00A94C81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</w:t>
            </w:r>
            <w:r w:rsidR="00707B79"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Observation time period</w:t>
            </w:r>
            <w:r w:rsid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(I)</w:t>
            </w:r>
          </w:p>
          <w:p w14:paraId="239BAC32" w14:textId="5A9C9716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analysis restricted to the study period from 27 December 2020 to 31 May 2021 </w:t>
            </w:r>
            <w:r w:rsidR="007A35F1"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>(n. 85)</w:t>
            </w:r>
            <w:r w:rsidR="00232DAC">
              <w:rPr>
                <w:rFonts w:eastAsia="Calibri" w:cstheme="minorHAnsi"/>
                <w:bCs/>
                <w:sz w:val="16"/>
                <w:szCs w:val="16"/>
                <w:lang w:val="en-GB"/>
              </w:rPr>
              <w:t>**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29C6D1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BD12CC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6F1E8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0.48 (0.10-2.20)</w:t>
            </w:r>
          </w:p>
        </w:tc>
        <w:tc>
          <w:tcPr>
            <w:tcW w:w="827" w:type="pct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B03EF" w14:textId="29A43345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**</w:t>
            </w:r>
            <w:r w:rsidR="00232DAC">
              <w:rPr>
                <w:rFonts w:eastAsia="Calibri" w:cstheme="minorHAnsi"/>
                <w:sz w:val="16"/>
                <w:szCs w:val="16"/>
                <w:lang w:val="en-GB"/>
              </w:rPr>
              <w:t>*</w:t>
            </w:r>
          </w:p>
        </w:tc>
      </w:tr>
      <w:tr w:rsidR="00707B79" w:rsidRPr="007A11C8" w14:paraId="7E016A06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6A7129" w14:textId="77777777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83FE18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7D481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04762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3.29 (1.22-8.88)</w:t>
            </w:r>
          </w:p>
        </w:tc>
        <w:tc>
          <w:tcPr>
            <w:tcW w:w="827" w:type="pct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F515E" w14:textId="30EDCB14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**</w:t>
            </w:r>
            <w:r w:rsidR="00232DAC">
              <w:rPr>
                <w:rFonts w:eastAsia="Calibri" w:cstheme="minorHAnsi"/>
                <w:sz w:val="16"/>
                <w:szCs w:val="16"/>
                <w:lang w:val="en-GB"/>
              </w:rPr>
              <w:t>*</w:t>
            </w:r>
          </w:p>
        </w:tc>
      </w:tr>
      <w:tr w:rsidR="00707B79" w:rsidRPr="007A11C8" w14:paraId="5974E85C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2C517F" w14:textId="5B38EAB7" w:rsidR="00707B79" w:rsidRPr="007A11C8" w:rsidRDefault="00A94C81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</w:t>
            </w:r>
            <w:r w:rsidR="00707B79"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Observation time period</w:t>
            </w:r>
            <w:r w:rsid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(II)</w:t>
            </w:r>
          </w:p>
          <w:p w14:paraId="1B3F37D3" w14:textId="3E4BD2C2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analysis restricted to the study period from 1 June 2021 to 30 September 2021 </w:t>
            </w:r>
            <w:r w:rsidR="007A35F1"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>(n. 160)</w:t>
            </w:r>
            <w:r w:rsidR="00232DAC">
              <w:rPr>
                <w:rFonts w:eastAsia="Calibri" w:cstheme="minorHAnsi"/>
                <w:bCs/>
                <w:sz w:val="16"/>
                <w:szCs w:val="16"/>
                <w:lang w:val="en-GB"/>
              </w:rPr>
              <w:t>**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4D6674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6050F3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E47D4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2.05 (0.97-4.33)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669C8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 xml:space="preserve">6.26 (2.15-15.22) </w:t>
            </w:r>
          </w:p>
        </w:tc>
      </w:tr>
      <w:tr w:rsidR="00707B79" w:rsidRPr="007A11C8" w14:paraId="2BAB10BA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9514AE" w14:textId="77777777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470032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F65B8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DF85E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4.32 (2.11-8.83)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E14A7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13.43 (4.65-38.76)</w:t>
            </w:r>
          </w:p>
        </w:tc>
      </w:tr>
      <w:tr w:rsidR="00707B79" w:rsidRPr="007A11C8" w14:paraId="1ADF6F8F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88FDD0" w14:textId="31915F66" w:rsidR="00707B79" w:rsidRPr="007A11C8" w:rsidRDefault="00A94C81" w:rsidP="00B202BB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</w:t>
            </w:r>
            <w:r w:rsidR="00707B79"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Exposure time period</w:t>
            </w:r>
            <w:r w:rsid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(I)</w:t>
            </w:r>
          </w:p>
          <w:p w14:paraId="2D7DCC9C" w14:textId="230C9785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>excluding day 0 from [0-7) day risk interval</w:t>
            </w:r>
            <w:r w:rsidR="007A35F1"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 (n. 441)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1F516A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833A0F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7102B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1.39 (0.75-2.55)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3F65E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7.68 (3.21-18.39)</w:t>
            </w:r>
          </w:p>
        </w:tc>
      </w:tr>
      <w:tr w:rsidR="008D2377" w:rsidRPr="007A11C8" w14:paraId="56470373" w14:textId="77777777" w:rsidTr="008D2377">
        <w:trPr>
          <w:gridAfter w:val="1"/>
          <w:wAfter w:w="6" w:type="pct"/>
          <w:trHeight w:val="230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B8E089" w14:textId="77777777" w:rsidR="00707B79" w:rsidRPr="007A11C8" w:rsidRDefault="00707B79" w:rsidP="00B202BB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8AC462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9CAA8E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80A50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3.96 (2.36-6.62)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07B4D" w14:textId="77777777" w:rsidR="00707B79" w:rsidRPr="007A11C8" w:rsidRDefault="00707B79" w:rsidP="00B202BB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8.76 (3.78-20.29)</w:t>
            </w:r>
          </w:p>
        </w:tc>
      </w:tr>
      <w:tr w:rsidR="001A3175" w:rsidRPr="00BF6953" w14:paraId="0BBF7A36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CA88C" w14:textId="76BD3FBE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a) Exposure time period</w:t>
            </w:r>
            <w:r w:rsid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(II)</w:t>
            </w:r>
          </w:p>
          <w:p w14:paraId="1A578C4E" w14:textId="2F1DFF7F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Cs/>
                <w:sz w:val="16"/>
                <w:szCs w:val="16"/>
                <w:lang w:val="en-GB"/>
              </w:rPr>
              <w:t>extending the exposure period to 0-28 days (n. 441)</w:t>
            </w:r>
          </w:p>
        </w:tc>
        <w:tc>
          <w:tcPr>
            <w:tcW w:w="38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E564B" w14:textId="39EA33A8" w:rsidR="001A3175" w:rsidRPr="00DA7AA9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1396F" w14:textId="2EC84DE3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54E63" w14:textId="5560B908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1.29 (0.71-2.33)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CF77F" w14:textId="129F60E5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5.97 (2.38-14.96)</w:t>
            </w:r>
          </w:p>
        </w:tc>
      </w:tr>
      <w:tr w:rsidR="001A3175" w:rsidRPr="00BF6953" w14:paraId="315A34FE" w14:textId="77777777" w:rsidTr="0053537A">
        <w:trPr>
          <w:gridAfter w:val="1"/>
          <w:wAfter w:w="6" w:type="pct"/>
          <w:trHeight w:val="249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03080" w14:textId="48065D6E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171E6" w14:textId="2F3A3605" w:rsidR="001A3175" w:rsidRPr="00DA7AA9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B3E66" w14:textId="35F37640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5B196" w14:textId="580C43C6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3.08 (1.82-5.24)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A9BDC" w14:textId="5CEF5ADD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7.49 (2.89-19.42)</w:t>
            </w:r>
          </w:p>
        </w:tc>
      </w:tr>
      <w:tr w:rsidR="001A3175" w:rsidRPr="00BF6953" w14:paraId="5345D48B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12935B" w14:textId="45AE61E0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a) Exposure time period</w:t>
            </w:r>
            <w:r w:rsid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(III)</w:t>
            </w:r>
          </w:p>
          <w:p w14:paraId="7BAC1426" w14:textId="64986C30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Cs/>
                <w:sz w:val="16"/>
                <w:szCs w:val="16"/>
                <w:lang w:val="en-GB"/>
              </w:rPr>
              <w:t>reducing the exposure period to 0-14 days (n. 441)</w:t>
            </w:r>
          </w:p>
          <w:p w14:paraId="1055D493" w14:textId="29E3C4B8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8C193" w14:textId="3194A4A0" w:rsidR="001A3175" w:rsidRPr="00DA7AA9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70AC0" w14:textId="764DC23A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46C99" w14:textId="07B829B3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1.21 (0.67-2.19)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7055E" w14:textId="5AEB38EF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7.43 (3.27-16.88)</w:t>
            </w:r>
          </w:p>
        </w:tc>
      </w:tr>
      <w:tr w:rsidR="001A3175" w:rsidRPr="00BF6953" w14:paraId="0AA630C7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29CD2" w14:textId="2767D17F" w:rsidR="001A3175" w:rsidRPr="00DA7AA9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71D3A" w14:textId="77777777" w:rsidR="001A3175" w:rsidRPr="00DA7AA9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8F3FD" w14:textId="2E74D36A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51A69" w14:textId="2577D502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3.18 (1.91-5.28)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2FE65" w14:textId="04042D70" w:rsidR="001A3175" w:rsidRPr="00DA7AA9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DA7AA9">
              <w:rPr>
                <w:rFonts w:eastAsia="Calibri" w:cstheme="minorHAnsi"/>
                <w:sz w:val="16"/>
                <w:szCs w:val="16"/>
                <w:lang w:val="en-GB"/>
              </w:rPr>
              <w:t>8.00 (3.58-17.89)</w:t>
            </w:r>
          </w:p>
        </w:tc>
      </w:tr>
      <w:tr w:rsidR="001A3175" w:rsidRPr="007A11C8" w14:paraId="78E62585" w14:textId="77777777" w:rsidTr="0053537A">
        <w:trPr>
          <w:gridAfter w:val="1"/>
          <w:wAfter w:w="6" w:type="pct"/>
          <w:trHeight w:val="283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B63B4" w14:textId="68CC754B" w:rsidR="001A3175" w:rsidRPr="007A11C8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b</w:t>
            </w: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Heterologous vaccination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(I)</w:t>
            </w:r>
          </w:p>
          <w:p w14:paraId="088A5938" w14:textId="06BCA01B" w:rsidR="001A3175" w:rsidRDefault="001A3175" w:rsidP="0053537A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excluding individuals with two different </w:t>
            </w:r>
            <w:r>
              <w:rPr>
                <w:rFonts w:eastAsia="Calibri" w:cstheme="minorHAnsi"/>
                <w:bCs/>
                <w:sz w:val="16"/>
                <w:szCs w:val="16"/>
                <w:lang w:val="en-GB"/>
              </w:rPr>
              <w:t>products</w:t>
            </w: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 in the first and second dose (n. 440)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D604F" w14:textId="06D384BC" w:rsidR="001A3175" w:rsidRPr="007A11C8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47B8F" w14:textId="7B97E155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4F404" w14:textId="0CAC6D32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1.27 (0.69-2.31)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219D6" w14:textId="73E249E8" w:rsidR="001A3175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6.56 (2.73-15.74)</w:t>
            </w:r>
          </w:p>
        </w:tc>
      </w:tr>
      <w:tr w:rsidR="001A3175" w:rsidRPr="007A11C8" w14:paraId="3B021D44" w14:textId="77777777" w:rsidTr="0053537A">
        <w:trPr>
          <w:gridAfter w:val="1"/>
          <w:wAfter w:w="6" w:type="pct"/>
          <w:trHeight w:val="227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2E067" w14:textId="0E50DC27" w:rsidR="001A3175" w:rsidRPr="007A11C8" w:rsidDel="00A94C81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7C49B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E4B72" w14:textId="79AEE6BB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125CA" w14:textId="45D679FC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3.39 (2.02-5.68)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373E6" w14:textId="067225BF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7.59 (3.26-17.66)</w:t>
            </w:r>
          </w:p>
        </w:tc>
      </w:tr>
      <w:tr w:rsidR="001A3175" w:rsidRPr="007A11C8" w14:paraId="0583CDB8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1F02C6" w14:textId="0D56E7D4" w:rsidR="001A3175" w:rsidRPr="007A11C8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b</w:t>
            </w: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Heterologous vaccination</w:t>
            </w: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 xml:space="preserve"> (II)</w:t>
            </w:r>
          </w:p>
          <w:p w14:paraId="6EBA1236" w14:textId="5156E05C" w:rsidR="001A3175" w:rsidRPr="007A11C8" w:rsidRDefault="001A3175" w:rsidP="001A3175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censoring 1 subjects who received a different </w:t>
            </w:r>
            <w:r>
              <w:rPr>
                <w:rFonts w:eastAsia="Calibri" w:cstheme="minorHAnsi"/>
                <w:bCs/>
                <w:sz w:val="16"/>
                <w:szCs w:val="16"/>
                <w:lang w:val="en-GB"/>
              </w:rPr>
              <w:t>product</w:t>
            </w: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Calibri" w:cstheme="minorHAnsi"/>
                <w:bCs/>
                <w:sz w:val="16"/>
                <w:szCs w:val="16"/>
                <w:lang w:val="en-GB"/>
              </w:rPr>
              <w:t>at</w:t>
            </w: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 xml:space="preserve"> the II dose (from </w:t>
            </w:r>
            <w:r>
              <w:rPr>
                <w:rFonts w:eastAsia="Calibri" w:cstheme="minorHAnsi"/>
                <w:bCs/>
                <w:sz w:val="16"/>
                <w:szCs w:val="16"/>
                <w:lang w:val="en-GB"/>
              </w:rPr>
              <w:t>m</w:t>
            </w: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>RNA-1273 to BNT162b2</w:t>
            </w:r>
            <w:r>
              <w:rPr>
                <w:rFonts w:eastAsia="Calibri" w:cstheme="minorHAnsi"/>
                <w:bCs/>
                <w:sz w:val="16"/>
                <w:szCs w:val="16"/>
                <w:lang w:val="en-GB"/>
              </w:rPr>
              <w:t>, n. 441)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5988DE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E4922D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8A6FB" w14:textId="0CEA12ED" w:rsidR="001A3175" w:rsidRPr="0053537A" w:rsidRDefault="30216E33" w:rsidP="66DEB97B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53537A">
              <w:rPr>
                <w:rFonts w:eastAsia="Calibri"/>
                <w:sz w:val="16"/>
                <w:szCs w:val="16"/>
                <w:lang w:val="en-GB"/>
              </w:rPr>
              <w:t>1.27 (0.69-2.31)</w:t>
            </w:r>
          </w:p>
        </w:tc>
        <w:tc>
          <w:tcPr>
            <w:tcW w:w="82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AD4D5" w14:textId="77777777" w:rsidR="001A3175" w:rsidRPr="0053537A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53537A">
              <w:rPr>
                <w:rFonts w:eastAsia="Calibri" w:cstheme="minorHAnsi"/>
                <w:sz w:val="16"/>
                <w:szCs w:val="16"/>
                <w:lang w:val="en-GB"/>
              </w:rPr>
              <w:t>6.61 (2.75-18.90)</w:t>
            </w:r>
          </w:p>
        </w:tc>
      </w:tr>
      <w:tr w:rsidR="001A3175" w:rsidRPr="007A11C8" w14:paraId="24847E63" w14:textId="77777777" w:rsidTr="0053537A">
        <w:trPr>
          <w:gridAfter w:val="1"/>
          <w:wAfter w:w="6" w:type="pct"/>
          <w:trHeight w:val="230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24B349" w14:textId="77777777" w:rsidR="001A3175" w:rsidRPr="007A11C8" w:rsidRDefault="001A3175" w:rsidP="001A3175">
            <w:pPr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FEB5DD" w14:textId="77777777" w:rsidR="001A3175" w:rsidRPr="007A11C8" w:rsidRDefault="001A3175" w:rsidP="001A3175">
            <w:pPr>
              <w:jc w:val="right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93978F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A0C3C" w14:textId="5931E736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3.39 (2.02-5.68)</w:t>
            </w:r>
          </w:p>
        </w:tc>
        <w:tc>
          <w:tcPr>
            <w:tcW w:w="82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437FB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7.61 (3.27-17.72)</w:t>
            </w:r>
          </w:p>
        </w:tc>
      </w:tr>
      <w:tr w:rsidR="001A3175" w:rsidRPr="007A11C8" w14:paraId="3781A6D7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CC18C" w14:textId="0AE4B7FC" w:rsidR="001A3175" w:rsidRPr="007A11C8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c</w:t>
            </w: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) SARS-CoV-2 infection</w:t>
            </w:r>
          </w:p>
          <w:p w14:paraId="68F9D72C" w14:textId="39B84C67" w:rsidR="001A3175" w:rsidRPr="007A11C8" w:rsidRDefault="001A3175" w:rsidP="001A3175">
            <w:pPr>
              <w:rPr>
                <w:rFonts w:eastAsia="Calibri" w:cstheme="minorHAnsi"/>
                <w:bCs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Cs/>
                <w:sz w:val="16"/>
                <w:szCs w:val="16"/>
                <w:lang w:val="en-GB"/>
              </w:rPr>
              <w:t>restricting the analyses to subjects without a SARS-CoV-2 positive test before and during the study period (n. 378)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09F7B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  <w:t>[0-7)</w:t>
            </w: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30C20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1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4E451" w14:textId="3AAA73E5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1.17 (0.64-2.25)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7D637" w14:textId="619950ED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5.66 (1.99-16.13)</w:t>
            </w:r>
          </w:p>
        </w:tc>
      </w:tr>
      <w:tr w:rsidR="001A3175" w:rsidRPr="007A11C8" w14:paraId="2C2DFEFF" w14:textId="77777777" w:rsidTr="0053537A">
        <w:trPr>
          <w:gridAfter w:val="1"/>
          <w:wAfter w:w="6" w:type="pct"/>
          <w:trHeight w:val="231"/>
        </w:trPr>
        <w:tc>
          <w:tcPr>
            <w:tcW w:w="2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A1F4F" w14:textId="77777777" w:rsidR="001A3175" w:rsidRPr="007A11C8" w:rsidRDefault="001A3175" w:rsidP="001A3175">
            <w:pPr>
              <w:rPr>
                <w:rFonts w:eastAsia="Calibr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00991" w14:textId="77777777" w:rsidR="001A3175" w:rsidRPr="007A11C8" w:rsidRDefault="001A3175" w:rsidP="001A3175">
            <w:pPr>
              <w:jc w:val="right"/>
              <w:rPr>
                <w:rFonts w:eastAsia="Calibri" w:cstheme="minorHAnsi"/>
                <w:sz w:val="16"/>
                <w:szCs w:val="16"/>
                <w:lang w:val="en-GB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BE0C8" w14:textId="77777777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Dose 2</w:t>
            </w:r>
          </w:p>
        </w:tc>
        <w:tc>
          <w:tcPr>
            <w:tcW w:w="8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B4214" w14:textId="27F82415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3.13 (1.82-5.39)</w:t>
            </w:r>
          </w:p>
        </w:tc>
        <w:tc>
          <w:tcPr>
            <w:tcW w:w="8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2E8E9" w14:textId="51C280D1" w:rsidR="001A3175" w:rsidRPr="007A11C8" w:rsidRDefault="001A3175" w:rsidP="001A3175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 w:rsidRPr="007A11C8">
              <w:rPr>
                <w:rFonts w:eastAsia="Calibri" w:cstheme="minorHAnsi"/>
                <w:sz w:val="16"/>
                <w:szCs w:val="16"/>
                <w:lang w:val="en-GB"/>
              </w:rPr>
              <w:t>7.85 (3.26.18.94)</w:t>
            </w:r>
          </w:p>
        </w:tc>
      </w:tr>
    </w:tbl>
    <w:p w14:paraId="409BCB58" w14:textId="78D975C6" w:rsidR="00707B79" w:rsidRPr="007A11C8" w:rsidRDefault="00675CA8" w:rsidP="00695054">
      <w:pPr>
        <w:rPr>
          <w:rFonts w:cstheme="minorHAnsi"/>
          <w:sz w:val="18"/>
          <w:szCs w:val="20"/>
          <w:lang w:val="en-GB"/>
        </w:rPr>
      </w:pPr>
      <w:r w:rsidRPr="007A11C8">
        <w:rPr>
          <w:rFonts w:cstheme="minorHAnsi"/>
          <w:sz w:val="18"/>
          <w:szCs w:val="20"/>
          <w:lang w:val="en-GB"/>
        </w:rPr>
        <w:t>SCCS: Self-Controlled Cases Serie</w:t>
      </w:r>
      <w:r w:rsidR="00695054" w:rsidRPr="007A11C8">
        <w:rPr>
          <w:rFonts w:cstheme="minorHAnsi"/>
          <w:sz w:val="18"/>
          <w:szCs w:val="20"/>
          <w:lang w:val="en-GB"/>
        </w:rPr>
        <w:t xml:space="preserve">s; </w:t>
      </w:r>
      <w:r w:rsidRPr="007A11C8">
        <w:rPr>
          <w:rFonts w:cstheme="minorHAnsi"/>
          <w:sz w:val="18"/>
          <w:szCs w:val="20"/>
          <w:lang w:val="en-GB"/>
        </w:rPr>
        <w:t xml:space="preserve">CI: </w:t>
      </w:r>
      <w:r w:rsidR="00695054" w:rsidRPr="007A11C8">
        <w:rPr>
          <w:rFonts w:cstheme="minorHAnsi"/>
          <w:sz w:val="18"/>
          <w:szCs w:val="20"/>
          <w:lang w:val="en-GB"/>
        </w:rPr>
        <w:t>Confidence interval</w:t>
      </w:r>
      <w:r w:rsidRPr="007A11C8">
        <w:rPr>
          <w:rFonts w:cstheme="minorHAnsi"/>
          <w:sz w:val="18"/>
          <w:szCs w:val="20"/>
          <w:lang w:val="en-GB"/>
        </w:rPr>
        <w:t>. *adjusted</w:t>
      </w:r>
      <w:r w:rsidR="00707B79" w:rsidRPr="007A11C8">
        <w:rPr>
          <w:rFonts w:cstheme="minorHAnsi"/>
          <w:sz w:val="18"/>
          <w:szCs w:val="20"/>
          <w:lang w:val="en-GB"/>
        </w:rPr>
        <w:t xml:space="preserve"> by calendar period</w:t>
      </w:r>
      <w:r w:rsidR="00695054" w:rsidRPr="007A11C8">
        <w:rPr>
          <w:rFonts w:cstheme="minorHAnsi"/>
          <w:sz w:val="18"/>
          <w:szCs w:val="20"/>
          <w:lang w:val="en-GB"/>
        </w:rPr>
        <w:t xml:space="preserve">; </w:t>
      </w:r>
      <w:r w:rsidR="00232DAC">
        <w:rPr>
          <w:rFonts w:cstheme="minorHAnsi"/>
          <w:sz w:val="18"/>
          <w:szCs w:val="20"/>
          <w:lang w:val="en-GB"/>
        </w:rPr>
        <w:t>**</w:t>
      </w:r>
      <w:r w:rsidR="0094601B">
        <w:rPr>
          <w:rFonts w:cstheme="minorHAnsi"/>
          <w:sz w:val="18"/>
          <w:szCs w:val="20"/>
          <w:lang w:val="en-GB"/>
        </w:rPr>
        <w:t xml:space="preserve">only </w:t>
      </w:r>
      <w:r w:rsidR="00232DAC">
        <w:rPr>
          <w:rFonts w:cstheme="minorHAnsi"/>
          <w:sz w:val="18"/>
          <w:szCs w:val="20"/>
          <w:lang w:val="en-GB"/>
        </w:rPr>
        <w:t xml:space="preserve">subjects vaccinated and with event in each period were included </w:t>
      </w:r>
      <w:r w:rsidR="00AF1C40">
        <w:rPr>
          <w:rFonts w:cstheme="minorHAnsi"/>
          <w:sz w:val="18"/>
          <w:szCs w:val="20"/>
          <w:lang w:val="en-GB"/>
        </w:rPr>
        <w:t>in</w:t>
      </w:r>
      <w:r w:rsidR="00232DAC">
        <w:rPr>
          <w:rFonts w:cstheme="minorHAnsi"/>
          <w:sz w:val="18"/>
          <w:szCs w:val="20"/>
          <w:lang w:val="en-GB"/>
        </w:rPr>
        <w:t xml:space="preserve"> this analysis </w:t>
      </w:r>
      <w:r w:rsidR="00707B79" w:rsidRPr="007A11C8">
        <w:rPr>
          <w:rFonts w:cstheme="minorHAnsi"/>
          <w:sz w:val="18"/>
          <w:szCs w:val="20"/>
          <w:lang w:val="en-GB"/>
        </w:rPr>
        <w:t>**</w:t>
      </w:r>
      <w:r w:rsidR="00232DAC">
        <w:rPr>
          <w:rFonts w:cstheme="minorHAnsi"/>
          <w:sz w:val="18"/>
          <w:szCs w:val="20"/>
          <w:lang w:val="en-GB"/>
        </w:rPr>
        <w:t>*c</w:t>
      </w:r>
      <w:r w:rsidR="00707B79" w:rsidRPr="007A11C8">
        <w:rPr>
          <w:rFonts w:cstheme="minorHAnsi"/>
          <w:sz w:val="18"/>
          <w:szCs w:val="20"/>
          <w:lang w:val="en-GB"/>
        </w:rPr>
        <w:t>onsidering the small number of cases, it was not possible to provide any estimates</w:t>
      </w:r>
    </w:p>
    <w:p w14:paraId="233C6030" w14:textId="7DEE8CA2" w:rsidR="00A94C81" w:rsidRDefault="00A94C81">
      <w:pPr>
        <w:spacing w:after="160" w:line="259" w:lineRule="auto"/>
        <w:rPr>
          <w:rFonts w:eastAsia="Times New Roman"/>
          <w:b/>
          <w:bCs/>
          <w:sz w:val="20"/>
          <w:szCs w:val="20"/>
          <w:lang w:val="en-GB" w:eastAsia="it-IT"/>
        </w:rPr>
      </w:pPr>
    </w:p>
    <w:sectPr w:rsidR="00A94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FBF57" w16cex:dateUtc="2022-01-29T12:27:00Z"/>
  <w16cex:commentExtensible w16cex:durableId="259FBDCD" w16cex:dateUtc="2022-01-29T12:21:00Z"/>
  <w16cex:commentExtensible w16cex:durableId="259FC2FC" w16cex:dateUtc="2022-01-29T12:43:00Z"/>
  <w16cex:commentExtensible w16cex:durableId="259FC6A8" w16cex:dateUtc="2022-01-29T12:59:00Z"/>
  <w16cex:commentExtensible w16cex:durableId="1B3DAC55" w16cex:dateUtc="2022-05-20T14:37:41.653Z"/>
  <w16cex:commentExtensible w16cex:durableId="5E652FAC" w16cex:dateUtc="2022-05-20T14:40:28.3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6FFACC" w16cid:durableId="259FBF57"/>
  <w16cid:commentId w16cid:paraId="3F4CD3DE" w16cid:durableId="259FBDCD"/>
  <w16cid:commentId w16cid:paraId="7C1E63C9" w16cid:durableId="259FC2FC"/>
  <w16cid:commentId w16cid:paraId="54275A9F" w16cid:durableId="259FC6A8"/>
  <w16cid:commentId w16cid:paraId="0504CB03" w16cid:durableId="1B3DAC55"/>
  <w16cid:commentId w16cid:paraId="553FB088" w16cid:durableId="5E652F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1C02" w14:textId="77777777" w:rsidR="0011561F" w:rsidRDefault="0011561F" w:rsidP="0098294E">
      <w:r>
        <w:separator/>
      </w:r>
    </w:p>
  </w:endnote>
  <w:endnote w:type="continuationSeparator" w:id="0">
    <w:p w14:paraId="6A9DE347" w14:textId="77777777" w:rsidR="0011561F" w:rsidRDefault="0011561F" w:rsidP="0098294E">
      <w:r>
        <w:continuationSeparator/>
      </w:r>
    </w:p>
  </w:endnote>
  <w:endnote w:type="continuationNotice" w:id="1">
    <w:p w14:paraId="16FCCC29" w14:textId="77777777" w:rsidR="0011561F" w:rsidRDefault="00115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D4E5" w14:textId="77777777" w:rsidR="00A22B65" w:rsidRDefault="00A22B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93344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6892ADFD" w14:textId="18B08595" w:rsidR="00A22B65" w:rsidRPr="00894B8A" w:rsidRDefault="00A22B65" w:rsidP="0098294E">
            <w:pPr>
              <w:pStyle w:val="Pidipagina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894B8A">
              <w:rPr>
                <w:bCs/>
                <w:sz w:val="20"/>
              </w:rPr>
              <w:fldChar w:fldCharType="begin"/>
            </w:r>
            <w:r w:rsidRPr="00894B8A">
              <w:rPr>
                <w:bCs/>
                <w:sz w:val="20"/>
              </w:rPr>
              <w:instrText>PAGE</w:instrText>
            </w:r>
            <w:r w:rsidRPr="00894B8A">
              <w:rPr>
                <w:bCs/>
                <w:sz w:val="20"/>
              </w:rPr>
              <w:fldChar w:fldCharType="separate"/>
            </w:r>
            <w:r w:rsidR="00743E7E">
              <w:rPr>
                <w:bCs/>
                <w:noProof/>
                <w:sz w:val="20"/>
              </w:rPr>
              <w:t>1</w:t>
            </w:r>
            <w:r w:rsidRPr="00894B8A">
              <w:rPr>
                <w:bCs/>
                <w:sz w:val="20"/>
              </w:rPr>
              <w:fldChar w:fldCharType="end"/>
            </w:r>
            <w:r w:rsidRPr="00894B8A">
              <w:rPr>
                <w:bCs/>
                <w:sz w:val="20"/>
              </w:rPr>
              <w:t>/</w:t>
            </w:r>
            <w:r w:rsidRPr="00894B8A">
              <w:rPr>
                <w:bCs/>
                <w:sz w:val="20"/>
              </w:rPr>
              <w:fldChar w:fldCharType="begin"/>
            </w:r>
            <w:r w:rsidRPr="00894B8A">
              <w:rPr>
                <w:bCs/>
                <w:sz w:val="20"/>
              </w:rPr>
              <w:instrText>NUMPAGES</w:instrText>
            </w:r>
            <w:r w:rsidRPr="00894B8A">
              <w:rPr>
                <w:bCs/>
                <w:sz w:val="20"/>
              </w:rPr>
              <w:fldChar w:fldCharType="separate"/>
            </w:r>
            <w:r w:rsidR="00743E7E">
              <w:rPr>
                <w:bCs/>
                <w:noProof/>
                <w:sz w:val="20"/>
              </w:rPr>
              <w:t>1</w:t>
            </w:r>
            <w:r w:rsidRPr="00894B8A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5E29B746" w14:textId="77777777" w:rsidR="00A22B65" w:rsidRDefault="00A22B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11F6" w14:textId="77777777" w:rsidR="00A22B65" w:rsidRDefault="00A22B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9C4B" w14:textId="77777777" w:rsidR="0011561F" w:rsidRDefault="0011561F" w:rsidP="0098294E">
      <w:r>
        <w:separator/>
      </w:r>
    </w:p>
  </w:footnote>
  <w:footnote w:type="continuationSeparator" w:id="0">
    <w:p w14:paraId="330E581A" w14:textId="77777777" w:rsidR="0011561F" w:rsidRDefault="0011561F" w:rsidP="0098294E">
      <w:r>
        <w:continuationSeparator/>
      </w:r>
    </w:p>
  </w:footnote>
  <w:footnote w:type="continuationNotice" w:id="1">
    <w:p w14:paraId="3E6F6379" w14:textId="77777777" w:rsidR="0011561F" w:rsidRDefault="00115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8E43" w14:textId="77777777" w:rsidR="00A22B65" w:rsidRDefault="00A22B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9754" w14:textId="3EEC0AAE" w:rsidR="00A22B65" w:rsidRDefault="00A22B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FA8D" w14:textId="77777777" w:rsidR="00A22B65" w:rsidRDefault="00A22B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18FD"/>
    <w:multiLevelType w:val="hybridMultilevel"/>
    <w:tmpl w:val="A662B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D66"/>
    <w:multiLevelType w:val="hybridMultilevel"/>
    <w:tmpl w:val="7D3E427A"/>
    <w:lvl w:ilvl="0" w:tplc="6BE6B1A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55044"/>
    <w:multiLevelType w:val="multilevel"/>
    <w:tmpl w:val="341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8619EF"/>
    <w:multiLevelType w:val="hybridMultilevel"/>
    <w:tmpl w:val="1EA89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0E75"/>
    <w:multiLevelType w:val="hybridMultilevel"/>
    <w:tmpl w:val="309C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4C30"/>
    <w:multiLevelType w:val="multilevel"/>
    <w:tmpl w:val="139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CB5BA2"/>
    <w:multiLevelType w:val="multilevel"/>
    <w:tmpl w:val="5AD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4E"/>
    <w:rsid w:val="00006D4C"/>
    <w:rsid w:val="00012B4C"/>
    <w:rsid w:val="00017B00"/>
    <w:rsid w:val="00026FAE"/>
    <w:rsid w:val="000412AE"/>
    <w:rsid w:val="00041467"/>
    <w:rsid w:val="0007508C"/>
    <w:rsid w:val="000B1365"/>
    <w:rsid w:val="000C52EE"/>
    <w:rsid w:val="000C52FF"/>
    <w:rsid w:val="000C58EB"/>
    <w:rsid w:val="000D7A39"/>
    <w:rsid w:val="001112CE"/>
    <w:rsid w:val="0011561F"/>
    <w:rsid w:val="00135528"/>
    <w:rsid w:val="00172880"/>
    <w:rsid w:val="0018187C"/>
    <w:rsid w:val="001958C6"/>
    <w:rsid w:val="001A0557"/>
    <w:rsid w:val="001A3175"/>
    <w:rsid w:val="001A48D6"/>
    <w:rsid w:val="001C3CAF"/>
    <w:rsid w:val="00203A6E"/>
    <w:rsid w:val="00232DAC"/>
    <w:rsid w:val="00242AF0"/>
    <w:rsid w:val="00246CDE"/>
    <w:rsid w:val="00255C59"/>
    <w:rsid w:val="0027768F"/>
    <w:rsid w:val="00284923"/>
    <w:rsid w:val="002A67B9"/>
    <w:rsid w:val="002B7EFC"/>
    <w:rsid w:val="002D3345"/>
    <w:rsid w:val="002D54AB"/>
    <w:rsid w:val="002F1AF5"/>
    <w:rsid w:val="003173CF"/>
    <w:rsid w:val="00340A08"/>
    <w:rsid w:val="003477A0"/>
    <w:rsid w:val="00366407"/>
    <w:rsid w:val="003A7E55"/>
    <w:rsid w:val="003C0604"/>
    <w:rsid w:val="003D0240"/>
    <w:rsid w:val="004077B2"/>
    <w:rsid w:val="00417D48"/>
    <w:rsid w:val="00452A91"/>
    <w:rsid w:val="00471476"/>
    <w:rsid w:val="00472487"/>
    <w:rsid w:val="004A02F8"/>
    <w:rsid w:val="004A15F0"/>
    <w:rsid w:val="00516E06"/>
    <w:rsid w:val="0053537A"/>
    <w:rsid w:val="00537B0C"/>
    <w:rsid w:val="00543B6D"/>
    <w:rsid w:val="005732B1"/>
    <w:rsid w:val="005855A4"/>
    <w:rsid w:val="00586B34"/>
    <w:rsid w:val="005943E6"/>
    <w:rsid w:val="005A489D"/>
    <w:rsid w:val="005A59D1"/>
    <w:rsid w:val="005B715E"/>
    <w:rsid w:val="00667C21"/>
    <w:rsid w:val="00675CA8"/>
    <w:rsid w:val="00695054"/>
    <w:rsid w:val="006A0B12"/>
    <w:rsid w:val="006B67EC"/>
    <w:rsid w:val="006D7624"/>
    <w:rsid w:val="006D771F"/>
    <w:rsid w:val="006E193D"/>
    <w:rsid w:val="00707B79"/>
    <w:rsid w:val="00722B5F"/>
    <w:rsid w:val="00743E7E"/>
    <w:rsid w:val="0076774A"/>
    <w:rsid w:val="00772CDD"/>
    <w:rsid w:val="007779C4"/>
    <w:rsid w:val="00780458"/>
    <w:rsid w:val="007A11C8"/>
    <w:rsid w:val="007A1D71"/>
    <w:rsid w:val="007A35F1"/>
    <w:rsid w:val="007C1CFD"/>
    <w:rsid w:val="007E0C9C"/>
    <w:rsid w:val="007E6108"/>
    <w:rsid w:val="007E77DB"/>
    <w:rsid w:val="007F6AF3"/>
    <w:rsid w:val="008003A2"/>
    <w:rsid w:val="00837BE8"/>
    <w:rsid w:val="00861ED1"/>
    <w:rsid w:val="00863E1A"/>
    <w:rsid w:val="00866AF1"/>
    <w:rsid w:val="00873806"/>
    <w:rsid w:val="008A5B8A"/>
    <w:rsid w:val="008B2584"/>
    <w:rsid w:val="008C053F"/>
    <w:rsid w:val="008C1ACF"/>
    <w:rsid w:val="008D153C"/>
    <w:rsid w:val="008D2377"/>
    <w:rsid w:val="0094149C"/>
    <w:rsid w:val="0094493E"/>
    <w:rsid w:val="0094601B"/>
    <w:rsid w:val="009604AF"/>
    <w:rsid w:val="00966B00"/>
    <w:rsid w:val="009758BF"/>
    <w:rsid w:val="0098294E"/>
    <w:rsid w:val="00983679"/>
    <w:rsid w:val="009A3083"/>
    <w:rsid w:val="009A3F39"/>
    <w:rsid w:val="009A7AE4"/>
    <w:rsid w:val="009C2E31"/>
    <w:rsid w:val="009D3DDD"/>
    <w:rsid w:val="009E3D1C"/>
    <w:rsid w:val="00A07641"/>
    <w:rsid w:val="00A14A71"/>
    <w:rsid w:val="00A22B65"/>
    <w:rsid w:val="00A33E83"/>
    <w:rsid w:val="00A430C2"/>
    <w:rsid w:val="00A52CAF"/>
    <w:rsid w:val="00A55E07"/>
    <w:rsid w:val="00A6291B"/>
    <w:rsid w:val="00A77B3B"/>
    <w:rsid w:val="00A92D31"/>
    <w:rsid w:val="00A94C81"/>
    <w:rsid w:val="00AB53BD"/>
    <w:rsid w:val="00AF1C40"/>
    <w:rsid w:val="00B202BB"/>
    <w:rsid w:val="00B24ECA"/>
    <w:rsid w:val="00B27529"/>
    <w:rsid w:val="00B32CE1"/>
    <w:rsid w:val="00B34003"/>
    <w:rsid w:val="00B354A7"/>
    <w:rsid w:val="00B6031F"/>
    <w:rsid w:val="00B63CCE"/>
    <w:rsid w:val="00BB1B3B"/>
    <w:rsid w:val="00BB5F51"/>
    <w:rsid w:val="00BD5B02"/>
    <w:rsid w:val="00BE06C8"/>
    <w:rsid w:val="00BF09FF"/>
    <w:rsid w:val="00BF396B"/>
    <w:rsid w:val="00BF6953"/>
    <w:rsid w:val="00C11BC8"/>
    <w:rsid w:val="00C15291"/>
    <w:rsid w:val="00C16403"/>
    <w:rsid w:val="00C243E8"/>
    <w:rsid w:val="00C3660F"/>
    <w:rsid w:val="00C521CB"/>
    <w:rsid w:val="00C85E8C"/>
    <w:rsid w:val="00C96596"/>
    <w:rsid w:val="00CA69C5"/>
    <w:rsid w:val="00CB1139"/>
    <w:rsid w:val="00CB3C37"/>
    <w:rsid w:val="00CD1EC5"/>
    <w:rsid w:val="00CD2FB1"/>
    <w:rsid w:val="00CD7082"/>
    <w:rsid w:val="00CE3940"/>
    <w:rsid w:val="00D20B05"/>
    <w:rsid w:val="00D31893"/>
    <w:rsid w:val="00D74D77"/>
    <w:rsid w:val="00D76F97"/>
    <w:rsid w:val="00D86C42"/>
    <w:rsid w:val="00D95C0D"/>
    <w:rsid w:val="00D97E0C"/>
    <w:rsid w:val="00DA6C1F"/>
    <w:rsid w:val="00DA7AA9"/>
    <w:rsid w:val="00DD6558"/>
    <w:rsid w:val="00DD77C7"/>
    <w:rsid w:val="00DF6A47"/>
    <w:rsid w:val="00E008EC"/>
    <w:rsid w:val="00E2155A"/>
    <w:rsid w:val="00E365BB"/>
    <w:rsid w:val="00E500FB"/>
    <w:rsid w:val="00E503A1"/>
    <w:rsid w:val="00E55E12"/>
    <w:rsid w:val="00E6186F"/>
    <w:rsid w:val="00E6445B"/>
    <w:rsid w:val="00E73393"/>
    <w:rsid w:val="00EB389D"/>
    <w:rsid w:val="00EB7EF3"/>
    <w:rsid w:val="00EC0317"/>
    <w:rsid w:val="00EC1E8A"/>
    <w:rsid w:val="00EC6521"/>
    <w:rsid w:val="00EE2C0E"/>
    <w:rsid w:val="00EF0699"/>
    <w:rsid w:val="00EF20B0"/>
    <w:rsid w:val="00F112BF"/>
    <w:rsid w:val="00F15635"/>
    <w:rsid w:val="00F322F3"/>
    <w:rsid w:val="00F33BEF"/>
    <w:rsid w:val="00F42F19"/>
    <w:rsid w:val="00F557A0"/>
    <w:rsid w:val="00F55E9C"/>
    <w:rsid w:val="00F637E0"/>
    <w:rsid w:val="00F819CD"/>
    <w:rsid w:val="00F8557B"/>
    <w:rsid w:val="00FB3C4F"/>
    <w:rsid w:val="00FB48E9"/>
    <w:rsid w:val="00FC432B"/>
    <w:rsid w:val="00FC620B"/>
    <w:rsid w:val="00FD2F10"/>
    <w:rsid w:val="045E454C"/>
    <w:rsid w:val="05AB08DF"/>
    <w:rsid w:val="07C7421C"/>
    <w:rsid w:val="08477EC2"/>
    <w:rsid w:val="08A7A79E"/>
    <w:rsid w:val="0A0DAB31"/>
    <w:rsid w:val="0C4032C4"/>
    <w:rsid w:val="0CA6DA19"/>
    <w:rsid w:val="0E544698"/>
    <w:rsid w:val="0FAFA35D"/>
    <w:rsid w:val="0FEEFA10"/>
    <w:rsid w:val="111B5166"/>
    <w:rsid w:val="12311177"/>
    <w:rsid w:val="12DCC216"/>
    <w:rsid w:val="13021759"/>
    <w:rsid w:val="1418822B"/>
    <w:rsid w:val="1579D824"/>
    <w:rsid w:val="159EB944"/>
    <w:rsid w:val="16C6F73F"/>
    <w:rsid w:val="17C11D80"/>
    <w:rsid w:val="17E28405"/>
    <w:rsid w:val="199BEE42"/>
    <w:rsid w:val="1A2665E7"/>
    <w:rsid w:val="1A45AE84"/>
    <w:rsid w:val="1AC97171"/>
    <w:rsid w:val="1BB8CBB0"/>
    <w:rsid w:val="1CB454BB"/>
    <w:rsid w:val="1D179865"/>
    <w:rsid w:val="2115D463"/>
    <w:rsid w:val="22EE9488"/>
    <w:rsid w:val="241AACAA"/>
    <w:rsid w:val="24A9BAE7"/>
    <w:rsid w:val="2501A9F9"/>
    <w:rsid w:val="256F6194"/>
    <w:rsid w:val="26A2420E"/>
    <w:rsid w:val="26D03848"/>
    <w:rsid w:val="27D56B28"/>
    <w:rsid w:val="27F26092"/>
    <w:rsid w:val="28DB42F9"/>
    <w:rsid w:val="29BAD7CF"/>
    <w:rsid w:val="2AAA1ACC"/>
    <w:rsid w:val="2BD941CA"/>
    <w:rsid w:val="2E855B38"/>
    <w:rsid w:val="2ED35CEB"/>
    <w:rsid w:val="2EFC20D6"/>
    <w:rsid w:val="30216E33"/>
    <w:rsid w:val="32126389"/>
    <w:rsid w:val="33CD62BE"/>
    <w:rsid w:val="347013DD"/>
    <w:rsid w:val="34BB4DC1"/>
    <w:rsid w:val="35EFD1BB"/>
    <w:rsid w:val="36F3612D"/>
    <w:rsid w:val="374E11D9"/>
    <w:rsid w:val="37D6C731"/>
    <w:rsid w:val="382A58D2"/>
    <w:rsid w:val="38E7C5C2"/>
    <w:rsid w:val="3931210C"/>
    <w:rsid w:val="39B63F98"/>
    <w:rsid w:val="39E529B6"/>
    <w:rsid w:val="3DA97188"/>
    <w:rsid w:val="3DD89F18"/>
    <w:rsid w:val="3FC57E82"/>
    <w:rsid w:val="4127D72D"/>
    <w:rsid w:val="41F03B9B"/>
    <w:rsid w:val="42F88E65"/>
    <w:rsid w:val="441007EC"/>
    <w:rsid w:val="45D7D751"/>
    <w:rsid w:val="46C47240"/>
    <w:rsid w:val="46E2ACFD"/>
    <w:rsid w:val="48956E8B"/>
    <w:rsid w:val="48A1D62A"/>
    <w:rsid w:val="48E02DF1"/>
    <w:rsid w:val="48F0B774"/>
    <w:rsid w:val="4A4C81EF"/>
    <w:rsid w:val="4C4718D5"/>
    <w:rsid w:val="4C58702C"/>
    <w:rsid w:val="4D1E9AD3"/>
    <w:rsid w:val="4FFC63D1"/>
    <w:rsid w:val="51ED2670"/>
    <w:rsid w:val="5390F4EF"/>
    <w:rsid w:val="542C1B46"/>
    <w:rsid w:val="549C014E"/>
    <w:rsid w:val="55138DB1"/>
    <w:rsid w:val="552CC550"/>
    <w:rsid w:val="56345E18"/>
    <w:rsid w:val="5663F40A"/>
    <w:rsid w:val="57FD1BB4"/>
    <w:rsid w:val="58646612"/>
    <w:rsid w:val="5AD435AD"/>
    <w:rsid w:val="5B3C0D3C"/>
    <w:rsid w:val="5B9C06D4"/>
    <w:rsid w:val="5D37D735"/>
    <w:rsid w:val="5F6B26EB"/>
    <w:rsid w:val="5F812AEE"/>
    <w:rsid w:val="625578D4"/>
    <w:rsid w:val="635104DF"/>
    <w:rsid w:val="63A171C8"/>
    <w:rsid w:val="63A5C9E5"/>
    <w:rsid w:val="66DEB97B"/>
    <w:rsid w:val="69A5FD3A"/>
    <w:rsid w:val="69E79154"/>
    <w:rsid w:val="6A98F0D9"/>
    <w:rsid w:val="6ABAD4B6"/>
    <w:rsid w:val="6C641329"/>
    <w:rsid w:val="6C756B0E"/>
    <w:rsid w:val="6CBA44F9"/>
    <w:rsid w:val="6CF83066"/>
    <w:rsid w:val="6D4F2676"/>
    <w:rsid w:val="6E7C6CB8"/>
    <w:rsid w:val="6EA5FB89"/>
    <w:rsid w:val="6F72C2B8"/>
    <w:rsid w:val="704DB27F"/>
    <w:rsid w:val="706240FC"/>
    <w:rsid w:val="710719DD"/>
    <w:rsid w:val="71579175"/>
    <w:rsid w:val="71A8921D"/>
    <w:rsid w:val="74E032DF"/>
    <w:rsid w:val="75DA3EEF"/>
    <w:rsid w:val="77BE6E16"/>
    <w:rsid w:val="7B699507"/>
    <w:rsid w:val="7B82EC4F"/>
    <w:rsid w:val="7C4E56B9"/>
    <w:rsid w:val="7CB88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9D15"/>
  <w15:chartTrackingRefBased/>
  <w15:docId w15:val="{BCF8C9AB-43BC-4091-A976-4D64186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94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8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98294E"/>
  </w:style>
  <w:style w:type="character" w:customStyle="1" w:styleId="eop">
    <w:name w:val="eop"/>
    <w:basedOn w:val="Carpredefinitoparagrafo"/>
    <w:rsid w:val="0098294E"/>
  </w:style>
  <w:style w:type="paragraph" w:customStyle="1" w:styleId="msonormal0">
    <w:name w:val="msonormal"/>
    <w:basedOn w:val="Normale"/>
    <w:rsid w:val="0098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run">
    <w:name w:val="textrun"/>
    <w:basedOn w:val="Carpredefinitoparagrafo"/>
    <w:rsid w:val="0098294E"/>
  </w:style>
  <w:style w:type="character" w:customStyle="1" w:styleId="trackchangetextdeletion">
    <w:name w:val="trackchangetextdeletion"/>
    <w:basedOn w:val="Carpredefinitoparagrafo"/>
    <w:rsid w:val="0098294E"/>
  </w:style>
  <w:style w:type="character" w:customStyle="1" w:styleId="trackchangetextinsertion">
    <w:name w:val="trackchangetextinsertion"/>
    <w:basedOn w:val="Carpredefinitoparagrafo"/>
    <w:rsid w:val="0098294E"/>
  </w:style>
  <w:style w:type="character" w:customStyle="1" w:styleId="trackedchange">
    <w:name w:val="trackedchange"/>
    <w:basedOn w:val="Carpredefinitoparagrafo"/>
    <w:rsid w:val="0098294E"/>
  </w:style>
  <w:style w:type="paragraph" w:customStyle="1" w:styleId="outlineelement">
    <w:name w:val="outlineelement"/>
    <w:basedOn w:val="Normale"/>
    <w:rsid w:val="0098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294E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29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294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94E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94E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94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9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9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2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94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94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MDPI51figurecaption">
    <w:name w:val="MDPI_5.1_figure_caption"/>
    <w:qFormat/>
    <w:rsid w:val="0098294E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Default">
    <w:name w:val="Default"/>
    <w:rsid w:val="00EC6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griglia4-colore6">
    <w:name w:val="Grid Table 4 Accent 6"/>
    <w:basedOn w:val="Tabellanormale"/>
    <w:uiPriority w:val="49"/>
    <w:rsid w:val="00DD77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ella">
    <w:name w:val="Table Grid"/>
    <w:basedOn w:val="Tabellanormale"/>
    <w:uiPriority w:val="39"/>
    <w:rsid w:val="00DD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46CDE"/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637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9A308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459DE688DDF4FBA6668462B43B767" ma:contentTypeVersion="14" ma:contentTypeDescription="Creare un nuovo documento." ma:contentTypeScope="" ma:versionID="1281bd39eda2d5ea0131749abff6709b">
  <xsd:schema xmlns:xsd="http://www.w3.org/2001/XMLSchema" xmlns:xs="http://www.w3.org/2001/XMLSchema" xmlns:p="http://schemas.microsoft.com/office/2006/metadata/properties" xmlns:ns3="bdaa4908-1f5e-4746-9491-1bcb95f3834f" xmlns:ns4="5cfc83e2-be08-4e56-b9ff-a415de6bd46e" targetNamespace="http://schemas.microsoft.com/office/2006/metadata/properties" ma:root="true" ma:fieldsID="6bf732de9980bba48f7f79e7aee9a88a" ns3:_="" ns4:_="">
    <xsd:import namespace="bdaa4908-1f5e-4746-9491-1bcb95f3834f"/>
    <xsd:import namespace="5cfc83e2-be08-4e56-b9ff-a415de6bd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4908-1f5e-4746-9491-1bcb95f3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83e2-be08-4e56-b9ff-a415de6bd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4B98-1A53-4E94-9692-C8D0A2CA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a4908-1f5e-4746-9491-1bcb95f3834f"/>
    <ds:schemaRef ds:uri="5cfc83e2-be08-4e56-b9ff-a415de6bd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DB066-9BED-4B5C-9F67-67C80419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FC6F-83D0-476B-AB51-7611CEDFD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D5C91-0019-41B2-86A7-8B4C367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Spila Alegiani Stefania</dc:creator>
  <cp:keywords/>
  <dc:description/>
  <cp:lastModifiedBy>Spila Alegiani Stefania</cp:lastModifiedBy>
  <cp:revision>3</cp:revision>
  <cp:lastPrinted>2022-02-01T14:42:00Z</cp:lastPrinted>
  <dcterms:created xsi:type="dcterms:W3CDTF">2022-06-28T09:27:00Z</dcterms:created>
  <dcterms:modified xsi:type="dcterms:W3CDTF">2022-06-28T09:28:00Z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0x0101009DB459DE688DDF4FBA6668462B43B767</vt:lpwstr>
  </property>
</Properties>
</file>